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13F4BE55"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DC2707">
        <w:rPr>
          <w:lang w:val="en-US"/>
        </w:rPr>
        <w:t>8</w:t>
      </w:r>
      <w:r w:rsidRPr="00DE3FC8">
        <w:rPr>
          <w:lang w:val="en-US"/>
        </w:rPr>
        <w:tab/>
      </w:r>
      <w:r>
        <w:rPr>
          <w:sz w:val="32"/>
          <w:szCs w:val="32"/>
          <w:lang w:val="en-US"/>
        </w:rPr>
        <w:t>R2-</w:t>
      </w:r>
      <w:r w:rsidR="00B62E51" w:rsidRPr="00B62E51">
        <w:rPr>
          <w:sz w:val="32"/>
          <w:szCs w:val="32"/>
          <w:lang w:val="en-US"/>
        </w:rPr>
        <w:t>2</w:t>
      </w:r>
      <w:r w:rsidR="001208B3">
        <w:rPr>
          <w:sz w:val="32"/>
          <w:szCs w:val="32"/>
          <w:lang w:val="en-US"/>
        </w:rPr>
        <w:t>500990</w:t>
      </w:r>
    </w:p>
    <w:p w14:paraId="5104E0A7" w14:textId="08B35346" w:rsidR="006255E7" w:rsidRDefault="00DC2707" w:rsidP="00F529AE">
      <w:pPr>
        <w:pStyle w:val="CRCoverPage"/>
        <w:jc w:val="both"/>
        <w:outlineLvl w:val="0"/>
        <w:rPr>
          <w:b/>
          <w:noProof/>
          <w:sz w:val="24"/>
        </w:rPr>
      </w:pPr>
      <w:r>
        <w:rPr>
          <w:b/>
          <w:noProof/>
          <w:sz w:val="24"/>
        </w:rPr>
        <w:t>Orlando</w:t>
      </w:r>
      <w:r w:rsidR="006255E7">
        <w:rPr>
          <w:b/>
          <w:noProof/>
          <w:sz w:val="24"/>
        </w:rPr>
        <w:t xml:space="preserve">, </w:t>
      </w:r>
      <w:r>
        <w:rPr>
          <w:b/>
          <w:noProof/>
          <w:sz w:val="24"/>
        </w:rPr>
        <w:t>USA</w:t>
      </w:r>
      <w:r w:rsidR="006255E7">
        <w:rPr>
          <w:b/>
          <w:noProof/>
          <w:sz w:val="24"/>
        </w:rPr>
        <w:t xml:space="preserve">, </w:t>
      </w:r>
      <w:r w:rsidR="00D608BD">
        <w:rPr>
          <w:b/>
          <w:noProof/>
          <w:sz w:val="24"/>
        </w:rPr>
        <w:t>1</w:t>
      </w:r>
      <w:r w:rsidR="005A6C0F">
        <w:rPr>
          <w:b/>
          <w:noProof/>
          <w:sz w:val="24"/>
        </w:rPr>
        <w:t>8</w:t>
      </w:r>
      <w:r w:rsidR="00925ECE" w:rsidRPr="00925ECE">
        <w:rPr>
          <w:b/>
          <w:noProof/>
          <w:sz w:val="24"/>
          <w:vertAlign w:val="superscript"/>
        </w:rPr>
        <w:t>th</w:t>
      </w:r>
      <w:r w:rsidR="00E455C2">
        <w:rPr>
          <w:b/>
          <w:noProof/>
          <w:sz w:val="24"/>
        </w:rPr>
        <w:t xml:space="preserve"> – </w:t>
      </w:r>
      <w:r w:rsidR="005A6C0F">
        <w:rPr>
          <w:b/>
          <w:noProof/>
          <w:sz w:val="24"/>
        </w:rPr>
        <w:t>22</w:t>
      </w:r>
      <w:r w:rsidR="005A6C0F">
        <w:rPr>
          <w:b/>
          <w:noProof/>
          <w:sz w:val="24"/>
          <w:vertAlign w:val="superscript"/>
        </w:rPr>
        <w:t>nd</w:t>
      </w:r>
      <w:r w:rsidR="00E455C2">
        <w:rPr>
          <w:b/>
          <w:noProof/>
          <w:sz w:val="24"/>
        </w:rPr>
        <w:t xml:space="preserve"> </w:t>
      </w:r>
      <w:r w:rsidR="005A6C0F">
        <w:rPr>
          <w:b/>
          <w:noProof/>
          <w:sz w:val="24"/>
        </w:rPr>
        <w:t>November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2C201F7F"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5C1838">
        <w:rPr>
          <w:sz w:val="22"/>
          <w:szCs w:val="22"/>
        </w:rPr>
        <w:t>7.</w:t>
      </w:r>
      <w:r w:rsidR="00DC2707">
        <w:rPr>
          <w:sz w:val="22"/>
          <w:szCs w:val="22"/>
        </w:rPr>
        <w:t>2</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1FC3796D" w:rsidR="00E90E49" w:rsidRPr="00CE0424" w:rsidRDefault="003D3C45" w:rsidP="00F529AE">
      <w:pPr>
        <w:pStyle w:val="3GPPHeader"/>
        <w:rPr>
          <w:sz w:val="22"/>
          <w:szCs w:val="22"/>
        </w:rPr>
      </w:pPr>
      <w:r>
        <w:rPr>
          <w:sz w:val="22"/>
          <w:szCs w:val="22"/>
        </w:rPr>
        <w:t>Title:</w:t>
      </w:r>
      <w:r w:rsidR="00E90E49" w:rsidRPr="00CE0424">
        <w:rPr>
          <w:sz w:val="22"/>
          <w:szCs w:val="22"/>
        </w:rPr>
        <w:tab/>
      </w:r>
      <w:r w:rsidR="00DE39E6">
        <w:rPr>
          <w:sz w:val="22"/>
          <w:szCs w:val="22"/>
        </w:rPr>
        <w:t xml:space="preserve">Summary of RRC proposals for </w:t>
      </w:r>
      <w:proofErr w:type="spellStart"/>
      <w:r w:rsidR="00DE39E6">
        <w:rPr>
          <w:sz w:val="22"/>
          <w:szCs w:val="22"/>
        </w:rPr>
        <w:t>feMob</w:t>
      </w:r>
      <w:proofErr w:type="spellEnd"/>
      <w:r w:rsidR="003B7B8E">
        <w:rPr>
          <w:sz w:val="22"/>
          <w:szCs w:val="22"/>
        </w:rPr>
        <w:t xml:space="preserve"> </w:t>
      </w:r>
    </w:p>
    <w:p w14:paraId="041C83BC" w14:textId="1C2573BA" w:rsidR="00E90E49" w:rsidRPr="00CE0424" w:rsidRDefault="00E90E49" w:rsidP="00F529AE">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F529AE">
      <w:pPr>
        <w:jc w:val="both"/>
      </w:pPr>
    </w:p>
    <w:p w14:paraId="0B9999BD" w14:textId="77777777" w:rsidR="00E90E49" w:rsidRPr="00CE0424" w:rsidRDefault="00230D18" w:rsidP="00F529AE">
      <w:pPr>
        <w:pStyle w:val="Heading1"/>
        <w:jc w:val="both"/>
      </w:pPr>
      <w:r>
        <w:t>1</w:t>
      </w:r>
      <w:r>
        <w:tab/>
      </w:r>
      <w:r w:rsidR="00E90E49" w:rsidRPr="00CE0424">
        <w:t>Introduction</w:t>
      </w:r>
    </w:p>
    <w:p w14:paraId="1EAB9BD0" w14:textId="4BB75160" w:rsidR="00477768" w:rsidRPr="00CE0424" w:rsidRDefault="00925ECE" w:rsidP="00F529AE">
      <w:pPr>
        <w:pStyle w:val="BodyText"/>
      </w:pPr>
      <w:r>
        <w:t xml:space="preserve">In this contribution </w:t>
      </w:r>
      <w:r w:rsidR="00DE39E6">
        <w:t>is provide a summary of the RRC proposals for FeMob with some possible conclusion for each of them.</w:t>
      </w:r>
      <w:r w:rsidR="00221862">
        <w:t xml:space="preserve"> </w:t>
      </w:r>
      <w:r w:rsidR="00221862" w:rsidRPr="00221862">
        <w:rPr>
          <w:b/>
          <w:bCs/>
        </w:rPr>
        <w:t xml:space="preserve">Please, note that </w:t>
      </w:r>
      <w:r w:rsidR="001208B3">
        <w:rPr>
          <w:b/>
          <w:bCs/>
        </w:rPr>
        <w:t>MAC</w:t>
      </w:r>
      <w:r w:rsidR="00453753">
        <w:rPr>
          <w:b/>
          <w:bCs/>
        </w:rPr>
        <w:t xml:space="preserve"> </w:t>
      </w:r>
      <w:r w:rsidR="00221862" w:rsidRPr="00221862">
        <w:rPr>
          <w:b/>
          <w:bCs/>
        </w:rPr>
        <w:t>corrections are left out from this document</w:t>
      </w:r>
      <w:r w:rsidR="00221862">
        <w:t>.</w:t>
      </w:r>
    </w:p>
    <w:p w14:paraId="430B8A08" w14:textId="2CEEE55A" w:rsidR="00D0245F" w:rsidRDefault="00230D18" w:rsidP="00DE39E6">
      <w:pPr>
        <w:pStyle w:val="Heading1"/>
        <w:jc w:val="both"/>
      </w:pPr>
      <w:bookmarkStart w:id="0" w:name="_Ref178064866"/>
      <w:r>
        <w:t>2</w:t>
      </w:r>
      <w:r>
        <w:tab/>
      </w:r>
      <w:r w:rsidR="004000E8" w:rsidRPr="00CE0424">
        <w:t>Discussion</w:t>
      </w:r>
      <w:bookmarkEnd w:id="0"/>
    </w:p>
    <w:p w14:paraId="567D80FD" w14:textId="5E4F8016" w:rsidR="00DE39E6" w:rsidRDefault="00824B17" w:rsidP="00824B17">
      <w:pPr>
        <w:pStyle w:val="BodyText"/>
      </w:pPr>
      <w:r>
        <w:t xml:space="preserve">Hereafter the </w:t>
      </w:r>
      <w:r w:rsidR="001208B3">
        <w:t>RRC related proposals</w:t>
      </w:r>
      <w:r>
        <w:t xml:space="preserve"> submitted to AI </w:t>
      </w:r>
      <w:r w:rsidR="00C14350">
        <w:t>7.</w:t>
      </w:r>
      <w:r w:rsidR="00DC2707">
        <w:t>2</w:t>
      </w:r>
      <w:r w:rsidR="00C14350">
        <w:t xml:space="preserve"> are listed and a possible outcome for what is proposed is suggested:</w:t>
      </w:r>
    </w:p>
    <w:tbl>
      <w:tblPr>
        <w:tblStyle w:val="GridTable4-Accent1"/>
        <w:tblW w:w="0" w:type="auto"/>
        <w:tblLook w:val="04A0" w:firstRow="1" w:lastRow="0" w:firstColumn="1" w:lastColumn="0" w:noHBand="0" w:noVBand="1"/>
      </w:tblPr>
      <w:tblGrid>
        <w:gridCol w:w="1405"/>
        <w:gridCol w:w="1239"/>
        <w:gridCol w:w="3621"/>
        <w:gridCol w:w="3364"/>
      </w:tblGrid>
      <w:tr w:rsidR="00AE2AC7" w14:paraId="0E7529C2" w14:textId="77777777" w:rsidTr="00B412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4BEE8DB9" w14:textId="1A4BAF36" w:rsidR="00C14350" w:rsidRDefault="00C14350" w:rsidP="00824B17">
            <w:pPr>
              <w:pStyle w:val="BodyText"/>
            </w:pPr>
            <w:proofErr w:type="spellStart"/>
            <w:r>
              <w:t>Tdoc</w:t>
            </w:r>
            <w:proofErr w:type="spellEnd"/>
            <w:r>
              <w:t xml:space="preserve"> #</w:t>
            </w:r>
          </w:p>
        </w:tc>
        <w:tc>
          <w:tcPr>
            <w:tcW w:w="1239" w:type="dxa"/>
          </w:tcPr>
          <w:p w14:paraId="19BFD2A4" w14:textId="28B6EF9C"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Company</w:t>
            </w:r>
          </w:p>
        </w:tc>
        <w:tc>
          <w:tcPr>
            <w:tcW w:w="3621" w:type="dxa"/>
          </w:tcPr>
          <w:p w14:paraId="6F00AEA6" w14:textId="2532EF5F"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Proposal</w:t>
            </w:r>
            <w:r w:rsidR="002B611B">
              <w:t>(s)</w:t>
            </w:r>
          </w:p>
        </w:tc>
        <w:tc>
          <w:tcPr>
            <w:tcW w:w="3364" w:type="dxa"/>
          </w:tcPr>
          <w:p w14:paraId="083904AE" w14:textId="672B3622" w:rsidR="00C14350" w:rsidRDefault="00C14350" w:rsidP="00824B17">
            <w:pPr>
              <w:pStyle w:val="BodyText"/>
              <w:cnfStyle w:val="100000000000" w:firstRow="1" w:lastRow="0" w:firstColumn="0" w:lastColumn="0" w:oddVBand="0" w:evenVBand="0" w:oddHBand="0" w:evenHBand="0" w:firstRowFirstColumn="0" w:firstRowLastColumn="0" w:lastRowFirstColumn="0" w:lastRowLastColumn="0"/>
            </w:pPr>
            <w:r>
              <w:t>Suggested conclusion</w:t>
            </w:r>
          </w:p>
        </w:tc>
      </w:tr>
      <w:tr w:rsidR="00AE2AC7" w14:paraId="00557917"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FCFA0D6" w14:textId="51B86A2D" w:rsidR="00C14350" w:rsidRDefault="00ED71FE" w:rsidP="00824B17">
            <w:pPr>
              <w:pStyle w:val="BodyText"/>
            </w:pPr>
            <w:hyperlink r:id="rId11" w:history="1">
              <w:r w:rsidR="008F4DC2" w:rsidRPr="00A75778">
                <w:rPr>
                  <w:rStyle w:val="Hyperlink"/>
                  <w:b w:val="0"/>
                  <w:bCs w:val="0"/>
                </w:rPr>
                <w:t>R2-2500151</w:t>
              </w:r>
            </w:hyperlink>
          </w:p>
        </w:tc>
        <w:tc>
          <w:tcPr>
            <w:tcW w:w="1239" w:type="dxa"/>
          </w:tcPr>
          <w:p w14:paraId="1B5A15C6" w14:textId="01B17286" w:rsidR="00C14350" w:rsidRDefault="008F4DC2" w:rsidP="00824B17">
            <w:pPr>
              <w:pStyle w:val="BodyText"/>
              <w:cnfStyle w:val="000000100000" w:firstRow="0" w:lastRow="0" w:firstColumn="0" w:lastColumn="0" w:oddVBand="0" w:evenVBand="0" w:oddHBand="1" w:evenHBand="0" w:firstRowFirstColumn="0" w:firstRowLastColumn="0" w:lastRowFirstColumn="0" w:lastRowLastColumn="0"/>
            </w:pPr>
            <w:r>
              <w:t>MediaTek</w:t>
            </w:r>
          </w:p>
        </w:tc>
        <w:tc>
          <w:tcPr>
            <w:tcW w:w="3621" w:type="dxa"/>
          </w:tcPr>
          <w:p w14:paraId="49022C4B" w14:textId="4B9B034C" w:rsidR="00F616B6" w:rsidRDefault="002B611B" w:rsidP="00AE2AC7">
            <w:pPr>
              <w:pStyle w:val="BodyText"/>
              <w:cnfStyle w:val="000000100000" w:firstRow="0" w:lastRow="0" w:firstColumn="0" w:lastColumn="0" w:oddVBand="0" w:evenVBand="0" w:oddHBand="1" w:evenHBand="0" w:firstRowFirstColumn="0" w:firstRowLastColumn="0" w:lastRowFirstColumn="0" w:lastRowLastColumn="0"/>
              <w:rPr>
                <w:rFonts w:cs="Arial"/>
              </w:rPr>
            </w:pPr>
            <w:r w:rsidRPr="0087655D">
              <w:rPr>
                <w:b/>
                <w:bCs/>
              </w:rPr>
              <w:t>P1</w:t>
            </w:r>
            <w:r>
              <w:t xml:space="preserve">: </w:t>
            </w:r>
            <w:r w:rsidR="0036366B">
              <w:t xml:space="preserve">The network always signals fields </w:t>
            </w:r>
            <w:proofErr w:type="spellStart"/>
            <w:r w:rsidR="0036366B" w:rsidRPr="007141E8">
              <w:rPr>
                <w:i/>
                <w:iCs/>
              </w:rPr>
              <w:t>frequencyBandList</w:t>
            </w:r>
            <w:proofErr w:type="spellEnd"/>
            <w:r w:rsidR="0036366B">
              <w:t xml:space="preserve"> and </w:t>
            </w:r>
            <w:proofErr w:type="spellStart"/>
            <w:r w:rsidR="0036366B">
              <w:rPr>
                <w:i/>
                <w:iCs/>
              </w:rPr>
              <w:t>absoluteFrequencyPointA</w:t>
            </w:r>
            <w:proofErr w:type="spellEnd"/>
            <w:r w:rsidR="0036366B" w:rsidRPr="007141E8">
              <w:rPr>
                <w:rFonts w:cs="Arial"/>
              </w:rPr>
              <w:t xml:space="preserve"> </w:t>
            </w:r>
            <w:r w:rsidR="0036366B">
              <w:rPr>
                <w:rFonts w:cs="Arial"/>
              </w:rPr>
              <w:t xml:space="preserve">when </w:t>
            </w:r>
            <w:proofErr w:type="spellStart"/>
            <w:r w:rsidR="0036366B">
              <w:rPr>
                <w:rFonts w:cs="Arial"/>
                <w:i/>
                <w:iCs/>
              </w:rPr>
              <w:t>FrequencyInfoUL</w:t>
            </w:r>
            <w:proofErr w:type="spellEnd"/>
            <w:r w:rsidR="0036366B">
              <w:rPr>
                <w:rFonts w:cs="Arial"/>
              </w:rPr>
              <w:t xml:space="preserve"> IE is used within </w:t>
            </w:r>
            <w:proofErr w:type="spellStart"/>
            <w:r w:rsidR="0036366B">
              <w:rPr>
                <w:rFonts w:cs="Arial"/>
                <w:i/>
                <w:iCs/>
              </w:rPr>
              <w:t>EarlyUL-SyncConfig</w:t>
            </w:r>
            <w:proofErr w:type="spellEnd"/>
            <w:r w:rsidR="0036366B">
              <w:rPr>
                <w:rFonts w:cs="Arial"/>
              </w:rPr>
              <w:t xml:space="preserve"> IE</w:t>
            </w:r>
          </w:p>
          <w:p w14:paraId="05192350" w14:textId="0E9A82FE" w:rsidR="0036366B" w:rsidRDefault="0036366B" w:rsidP="00AE2AC7">
            <w:pPr>
              <w:pStyle w:val="BodyText"/>
              <w:cnfStyle w:val="000000100000" w:firstRow="0" w:lastRow="0" w:firstColumn="0" w:lastColumn="0" w:oddVBand="0" w:evenVBand="0" w:oddHBand="1" w:evenHBand="0" w:firstRowFirstColumn="0" w:firstRowLastColumn="0" w:lastRowFirstColumn="0" w:lastRowLastColumn="0"/>
            </w:pPr>
            <w:r w:rsidRPr="0036366B">
              <w:rPr>
                <w:b/>
                <w:bCs/>
              </w:rPr>
              <w:t>P2</w:t>
            </w:r>
            <w:r>
              <w:t>:</w:t>
            </w:r>
            <w:r w:rsidR="00914577">
              <w:t xml:space="preserve"> </w:t>
            </w:r>
            <w:r w:rsidR="00E1309A" w:rsidRPr="00E1309A">
              <w:t xml:space="preserve">The UE maintains fields </w:t>
            </w:r>
            <w:proofErr w:type="spellStart"/>
            <w:r w:rsidR="00E1309A" w:rsidRPr="00E1309A">
              <w:t>subCarrierSpacing</w:t>
            </w:r>
            <w:proofErr w:type="spellEnd"/>
            <w:r w:rsidR="00E1309A" w:rsidRPr="00E1309A">
              <w:t xml:space="preserve">, </w:t>
            </w:r>
            <w:proofErr w:type="spellStart"/>
            <w:r w:rsidR="00E1309A" w:rsidRPr="00E1309A">
              <w:t>absoluteFrequencyPointA</w:t>
            </w:r>
            <w:proofErr w:type="spellEnd"/>
            <w:r w:rsidR="00E1309A" w:rsidRPr="00E1309A">
              <w:t xml:space="preserve">, and </w:t>
            </w:r>
            <w:proofErr w:type="spellStart"/>
            <w:r w:rsidR="00E1309A" w:rsidRPr="00E1309A">
              <w:t>cyclicPrefix</w:t>
            </w:r>
            <w:proofErr w:type="spellEnd"/>
            <w:r w:rsidR="00E1309A" w:rsidRPr="00E1309A">
              <w:t xml:space="preserve"> in case the fields are absent in NZP-CSI-RS-Resource IE used within LTM-Candidate IE</w:t>
            </w:r>
            <w:r w:rsidR="00E1309A">
              <w:t>.</w:t>
            </w:r>
          </w:p>
          <w:p w14:paraId="1C947FCD" w14:textId="5BF0C5A7" w:rsidR="00914577" w:rsidRDefault="00914577" w:rsidP="00914577">
            <w:pPr>
              <w:pStyle w:val="BodyText"/>
              <w:cnfStyle w:val="000000100000" w:firstRow="0" w:lastRow="0" w:firstColumn="0" w:lastColumn="0" w:oddVBand="0" w:evenVBand="0" w:oddHBand="1" w:evenHBand="0" w:firstRowFirstColumn="0" w:firstRowLastColumn="0" w:lastRowFirstColumn="0" w:lastRowLastColumn="0"/>
            </w:pPr>
            <w:r w:rsidRPr="00914577">
              <w:rPr>
                <w:b/>
                <w:bCs/>
              </w:rPr>
              <w:t>P3</w:t>
            </w:r>
            <w:r>
              <w:t>: RAN2 to discuss usage of the LTM reference configuration.</w:t>
            </w:r>
          </w:p>
          <w:p w14:paraId="07F78FB4" w14:textId="2490A403" w:rsidR="00914577" w:rsidRDefault="00914577" w:rsidP="00914577">
            <w:pPr>
              <w:pStyle w:val="BodyText"/>
              <w:cnfStyle w:val="000000100000" w:firstRow="0" w:lastRow="0" w:firstColumn="0" w:lastColumn="0" w:oddVBand="0" w:evenVBand="0" w:oddHBand="1" w:evenHBand="0" w:firstRowFirstColumn="0" w:firstRowLastColumn="0" w:lastRowFirstColumn="0" w:lastRowLastColumn="0"/>
            </w:pPr>
            <w:r w:rsidRPr="00914577">
              <w:rPr>
                <w:b/>
                <w:bCs/>
              </w:rPr>
              <w:t>P4</w:t>
            </w:r>
            <w:r>
              <w:t>: Based on the outcome of the discussion (P3), RAN2 to agree on which fields can and which fields cannot be present in the LTM reference configuration.</w:t>
            </w:r>
          </w:p>
          <w:p w14:paraId="3F5090A8" w14:textId="3EE7D766" w:rsidR="00914577" w:rsidRDefault="00914577" w:rsidP="00914577">
            <w:pPr>
              <w:pStyle w:val="BodyText"/>
              <w:cnfStyle w:val="000000100000" w:firstRow="0" w:lastRow="0" w:firstColumn="0" w:lastColumn="0" w:oddVBand="0" w:evenVBand="0" w:oddHBand="1" w:evenHBand="0" w:firstRowFirstColumn="0" w:firstRowLastColumn="0" w:lastRowFirstColumn="0" w:lastRowLastColumn="0"/>
            </w:pPr>
            <w:r w:rsidRPr="00914577">
              <w:rPr>
                <w:b/>
                <w:bCs/>
              </w:rPr>
              <w:t>P5</w:t>
            </w:r>
            <w:r>
              <w:t>: Based on the outcome of the discussion (P3), RAN2 to agree on which fields can and which fields cannot be present at the same time in the LTM reference configuration and in a non-complete LTM candidate configuration.</w:t>
            </w:r>
          </w:p>
          <w:p w14:paraId="10CA5394" w14:textId="14D232EC" w:rsidR="00914577" w:rsidRDefault="00914577" w:rsidP="00914577">
            <w:pPr>
              <w:pStyle w:val="BodyText"/>
              <w:cnfStyle w:val="000000100000" w:firstRow="0" w:lastRow="0" w:firstColumn="0" w:lastColumn="0" w:oddVBand="0" w:evenVBand="0" w:oddHBand="1" w:evenHBand="0" w:firstRowFirstColumn="0" w:firstRowLastColumn="0" w:lastRowFirstColumn="0" w:lastRowLastColumn="0"/>
            </w:pPr>
            <w:r w:rsidRPr="00914577">
              <w:rPr>
                <w:b/>
                <w:bCs/>
              </w:rPr>
              <w:t>P6</w:t>
            </w:r>
            <w:r>
              <w:t>:</w:t>
            </w:r>
            <w:r>
              <w:tab/>
              <w:t xml:space="preserve">Based on the outcome of the discussion (P3), RAN2 to agree on whether the fields which can be present at the same time in the LTM reference configuration and in a non-complete LTM candidate configuration, if any, can configure the same entities (same radio bearer, same </w:t>
            </w:r>
            <w:proofErr w:type="spellStart"/>
            <w:r>
              <w:t>SCell</w:t>
            </w:r>
            <w:proofErr w:type="spellEnd"/>
            <w:r>
              <w:t>, etc.).</w:t>
            </w:r>
          </w:p>
          <w:p w14:paraId="12EB49BC" w14:textId="77777777" w:rsidR="00914577" w:rsidRDefault="00914577" w:rsidP="00914577">
            <w:pPr>
              <w:pStyle w:val="BodyText"/>
              <w:cnfStyle w:val="000000100000" w:firstRow="0" w:lastRow="0" w:firstColumn="0" w:lastColumn="0" w:oddVBand="0" w:evenVBand="0" w:oddHBand="1" w:evenHBand="0" w:firstRowFirstColumn="0" w:firstRowLastColumn="0" w:lastRowFirstColumn="0" w:lastRowLastColumn="0"/>
            </w:pPr>
            <w:r w:rsidRPr="00914577">
              <w:rPr>
                <w:b/>
                <w:bCs/>
              </w:rPr>
              <w:t>P7</w:t>
            </w:r>
            <w:r>
              <w:t>:</w:t>
            </w:r>
            <w:r>
              <w:tab/>
              <w:t>RAN2 to discuss whether the agreements (from P4, P5, and P6), if any, should be captured in 38.331.</w:t>
            </w:r>
          </w:p>
          <w:p w14:paraId="3BA0FACA" w14:textId="2E118DBD" w:rsidR="00D771C6" w:rsidRDefault="00D771C6" w:rsidP="00914577">
            <w:pPr>
              <w:pStyle w:val="BodyText"/>
              <w:cnfStyle w:val="000000100000" w:firstRow="0" w:lastRow="0" w:firstColumn="0" w:lastColumn="0" w:oddVBand="0" w:evenVBand="0" w:oddHBand="1" w:evenHBand="0" w:firstRowFirstColumn="0" w:firstRowLastColumn="0" w:lastRowFirstColumn="0" w:lastRowLastColumn="0"/>
            </w:pPr>
            <w:r w:rsidRPr="00D771C6">
              <w:rPr>
                <w:b/>
                <w:bCs/>
              </w:rPr>
              <w:t>P8</w:t>
            </w:r>
            <w:r>
              <w:t xml:space="preserve">: </w:t>
            </w:r>
            <w:r w:rsidRPr="00D771C6">
              <w:t xml:space="preserve">Within LTM Cell Switch Command MAC CE, the indicated joint TCI state in the TCI state ID field is the same or QCL to the SSB indicated in the SS/PBCH index field of the contention-free </w:t>
            </w:r>
            <w:proofErr w:type="gramStart"/>
            <w:r w:rsidRPr="00D771C6">
              <w:t>Random Access</w:t>
            </w:r>
            <w:proofErr w:type="gramEnd"/>
            <w:r w:rsidRPr="00D771C6">
              <w:t xml:space="preserve"> Resources.</w:t>
            </w:r>
          </w:p>
          <w:p w14:paraId="6A021336" w14:textId="09140CEE" w:rsidR="00412B01" w:rsidRDefault="00412B01" w:rsidP="00914577">
            <w:pPr>
              <w:pStyle w:val="BodyText"/>
              <w:cnfStyle w:val="000000100000" w:firstRow="0" w:lastRow="0" w:firstColumn="0" w:lastColumn="0" w:oddVBand="0" w:evenVBand="0" w:oddHBand="1" w:evenHBand="0" w:firstRowFirstColumn="0" w:firstRowLastColumn="0" w:lastRowFirstColumn="0" w:lastRowLastColumn="0"/>
            </w:pPr>
            <w:r w:rsidRPr="00412B01">
              <w:rPr>
                <w:b/>
                <w:bCs/>
              </w:rPr>
              <w:t>P9</w:t>
            </w:r>
            <w:r>
              <w:t xml:space="preserve">: </w:t>
            </w:r>
            <w:r w:rsidRPr="00753D62">
              <w:t xml:space="preserve">For UE capability </w:t>
            </w:r>
            <w:r w:rsidRPr="00753D62">
              <w:rPr>
                <w:i/>
                <w:iCs/>
              </w:rPr>
              <w:t>pdcch-RACH-AffectedBandsList-r18</w:t>
            </w:r>
            <w:r w:rsidRPr="00753D62">
              <w:t>, RAN2 to discuss the issue of UE reporting this UE capability for bands for which the UE does not support PDCCH-ordered RACH for LTM</w:t>
            </w:r>
            <w:r>
              <w:t xml:space="preserve"> (Two options are listed)</w:t>
            </w:r>
            <w:r w:rsidRPr="00753D62">
              <w:t>.</w:t>
            </w:r>
          </w:p>
        </w:tc>
        <w:tc>
          <w:tcPr>
            <w:tcW w:w="3364" w:type="dxa"/>
          </w:tcPr>
          <w:p w14:paraId="39EC3091" w14:textId="00112920" w:rsidR="00C14350" w:rsidRDefault="00CA7348" w:rsidP="00824B17">
            <w:pPr>
              <w:pStyle w:val="BodyText"/>
              <w:cnfStyle w:val="000000100000" w:firstRow="0" w:lastRow="0" w:firstColumn="0" w:lastColumn="0" w:oddVBand="0" w:evenVBand="0" w:oddHBand="1" w:evenHBand="0" w:firstRowFirstColumn="0" w:firstRowLastColumn="0" w:lastRowFirstColumn="0" w:lastRowLastColumn="0"/>
              <w:rPr>
                <w:b/>
                <w:bCs/>
              </w:rPr>
            </w:pPr>
            <w:r w:rsidRPr="00CA7348">
              <w:rPr>
                <w:b/>
                <w:bCs/>
              </w:rPr>
              <w:t>P1</w:t>
            </w:r>
            <w:r>
              <w:rPr>
                <w:b/>
                <w:bCs/>
              </w:rPr>
              <w:t xml:space="preserve">: </w:t>
            </w:r>
            <w:r w:rsidR="0036366B" w:rsidRPr="00971EC1">
              <w:rPr>
                <w:highlight w:val="green"/>
              </w:rPr>
              <w:t>To be agreed</w:t>
            </w:r>
            <w:r w:rsidR="00840604">
              <w:t>.</w:t>
            </w:r>
            <w:r w:rsidR="00F066ED">
              <w:t xml:space="preserve"> </w:t>
            </w:r>
            <w:r w:rsidR="00B47A3E">
              <w:t xml:space="preserve">It seems this is correct and maybe something it was overlooked when the configuration for </w:t>
            </w:r>
            <w:proofErr w:type="spellStart"/>
            <w:r w:rsidR="00B47A3E">
              <w:t>ealy</w:t>
            </w:r>
            <w:proofErr w:type="spellEnd"/>
            <w:r w:rsidR="00B47A3E">
              <w:t xml:space="preserve"> sync was discussed.</w:t>
            </w:r>
          </w:p>
          <w:p w14:paraId="147E0319" w14:textId="4F08B6E8" w:rsidR="005F4371" w:rsidRPr="000462F7" w:rsidRDefault="005F4371"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P2: </w:t>
            </w:r>
            <w:r w:rsidR="00E1309A" w:rsidRPr="00971EC1">
              <w:rPr>
                <w:highlight w:val="green"/>
              </w:rPr>
              <w:t>To be agreed</w:t>
            </w:r>
            <w:r w:rsidR="00E1309A">
              <w:t>. The need code seems correct and anyway this should be the expected UE behaviour.</w:t>
            </w:r>
          </w:p>
          <w:p w14:paraId="6F94D457" w14:textId="3F3C5913" w:rsidR="004F2D93" w:rsidRDefault="00914577" w:rsidP="00824B17">
            <w:pPr>
              <w:pStyle w:val="BodyText"/>
              <w:cnfStyle w:val="000000100000" w:firstRow="0" w:lastRow="0" w:firstColumn="0" w:lastColumn="0" w:oddVBand="0" w:evenVBand="0" w:oddHBand="1" w:evenHBand="0" w:firstRowFirstColumn="0" w:firstRowLastColumn="0" w:lastRowFirstColumn="0" w:lastRowLastColumn="0"/>
            </w:pPr>
            <w:r w:rsidRPr="00914577">
              <w:rPr>
                <w:b/>
                <w:bCs/>
              </w:rPr>
              <w:t>P3-P7</w:t>
            </w:r>
            <w:r>
              <w:t xml:space="preserve">: </w:t>
            </w:r>
            <w:r w:rsidR="00D771C6" w:rsidRPr="003305DF">
              <w:rPr>
                <w:highlight w:val="red"/>
              </w:rPr>
              <w:t>Not pursued</w:t>
            </w:r>
            <w:r w:rsidR="00D771C6">
              <w:t xml:space="preserve">. </w:t>
            </w:r>
            <w:r>
              <w:t xml:space="preserve">We agree that </w:t>
            </w:r>
            <w:proofErr w:type="gramStart"/>
            <w:r>
              <w:t>at the moment</w:t>
            </w:r>
            <w:proofErr w:type="gramEnd"/>
            <w:r>
              <w:t xml:space="preserve"> there is full flexibility for the network to split the complete RRC configuration between the reference and the LTM candidate configuration. However, discussing now what can be included in the reference sounds like a tricky and long discussion. We think the </w:t>
            </w:r>
            <w:r w:rsidR="00F41323">
              <w:t xml:space="preserve">flexibility </w:t>
            </w:r>
            <w:r>
              <w:t>was intentional from the beginning</w:t>
            </w:r>
            <w:r w:rsidR="00F41323">
              <w:t>, but now it too late to change this. If too difficult to support the reference configuration, we have anyway a UE capability for it.</w:t>
            </w:r>
          </w:p>
          <w:p w14:paraId="0B385D37" w14:textId="77777777" w:rsidR="00D771C6" w:rsidRDefault="00D771C6" w:rsidP="00824B17">
            <w:pPr>
              <w:pStyle w:val="BodyText"/>
              <w:cnfStyle w:val="000000100000" w:firstRow="0" w:lastRow="0" w:firstColumn="0" w:lastColumn="0" w:oddVBand="0" w:evenVBand="0" w:oddHBand="1" w:evenHBand="0" w:firstRowFirstColumn="0" w:firstRowLastColumn="0" w:lastRowFirstColumn="0" w:lastRowLastColumn="0"/>
            </w:pPr>
            <w:r w:rsidRPr="00D771C6">
              <w:rPr>
                <w:b/>
                <w:bCs/>
              </w:rPr>
              <w:t>P8</w:t>
            </w:r>
            <w:r>
              <w:t>:</w:t>
            </w:r>
            <w:r w:rsidRPr="00D771C6">
              <w:t xml:space="preserve"> </w:t>
            </w:r>
            <w:r w:rsidRPr="00971EC1">
              <w:rPr>
                <w:highlight w:val="green"/>
              </w:rPr>
              <w:t>To be agreed</w:t>
            </w:r>
            <w:r>
              <w:t>. This seems straightforward. Do we need to check with RAN1 about this?</w:t>
            </w:r>
          </w:p>
          <w:p w14:paraId="6CA7E6FD" w14:textId="08EBA68F" w:rsidR="00412B01" w:rsidRPr="005F4371" w:rsidRDefault="00412B01" w:rsidP="00824B17">
            <w:pPr>
              <w:pStyle w:val="BodyText"/>
              <w:cnfStyle w:val="000000100000" w:firstRow="0" w:lastRow="0" w:firstColumn="0" w:lastColumn="0" w:oddVBand="0" w:evenVBand="0" w:oddHBand="1" w:evenHBand="0" w:firstRowFirstColumn="0" w:firstRowLastColumn="0" w:lastRowFirstColumn="0" w:lastRowLastColumn="0"/>
            </w:pPr>
            <w:r w:rsidRPr="00412B01">
              <w:rPr>
                <w:b/>
                <w:bCs/>
              </w:rPr>
              <w:t>P9</w:t>
            </w:r>
            <w:r>
              <w:t xml:space="preserve">: </w:t>
            </w:r>
            <w:r w:rsidRPr="008619C9">
              <w:rPr>
                <w:highlight w:val="yellow"/>
              </w:rPr>
              <w:t>To be discussed</w:t>
            </w:r>
            <w:r>
              <w:t>. The</w:t>
            </w:r>
            <w:r w:rsidR="00B37029">
              <w:t xml:space="preserve"> issue</w:t>
            </w:r>
            <w:r>
              <w:t xml:space="preserve"> may be valid but probably is good to check this with RAN4</w:t>
            </w:r>
            <w:r w:rsidR="00890F6A">
              <w:t xml:space="preserve"> as RAN2 cannot really decide this.</w:t>
            </w:r>
          </w:p>
        </w:tc>
      </w:tr>
      <w:tr w:rsidR="00C14350" w14:paraId="536B2483"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A132086" w14:textId="6D09C9D1" w:rsidR="00C14350" w:rsidRDefault="00ED71FE" w:rsidP="00824B17">
            <w:pPr>
              <w:pStyle w:val="BodyText"/>
            </w:pPr>
            <w:hyperlink r:id="rId12" w:history="1">
              <w:r w:rsidR="00461C84" w:rsidRPr="00A75778">
                <w:rPr>
                  <w:rStyle w:val="Hyperlink"/>
                  <w:rFonts w:cs="Arial"/>
                  <w:b w:val="0"/>
                  <w:bCs w:val="0"/>
                </w:rPr>
                <w:t>R2-2500173</w:t>
              </w:r>
            </w:hyperlink>
          </w:p>
        </w:tc>
        <w:tc>
          <w:tcPr>
            <w:tcW w:w="1239" w:type="dxa"/>
          </w:tcPr>
          <w:p w14:paraId="7AD3A538" w14:textId="26F116E3" w:rsidR="00C14350" w:rsidRDefault="00461C84" w:rsidP="00824B17">
            <w:pPr>
              <w:pStyle w:val="BodyText"/>
              <w:cnfStyle w:val="000000000000" w:firstRow="0" w:lastRow="0" w:firstColumn="0" w:lastColumn="0" w:oddVBand="0" w:evenVBand="0" w:oddHBand="0" w:evenHBand="0" w:firstRowFirstColumn="0" w:firstRowLastColumn="0" w:lastRowFirstColumn="0" w:lastRowLastColumn="0"/>
            </w:pPr>
            <w:r>
              <w:t>Samsung</w:t>
            </w:r>
          </w:p>
        </w:tc>
        <w:tc>
          <w:tcPr>
            <w:tcW w:w="3621" w:type="dxa"/>
          </w:tcPr>
          <w:p w14:paraId="45150A9A" w14:textId="29924874" w:rsidR="00956796" w:rsidRDefault="00956796" w:rsidP="00C51F77">
            <w:pPr>
              <w:pStyle w:val="BodyText"/>
              <w:cnfStyle w:val="000000000000" w:firstRow="0" w:lastRow="0" w:firstColumn="0" w:lastColumn="0" w:oddVBand="0" w:evenVBand="0" w:oddHBand="0" w:evenHBand="0" w:firstRowFirstColumn="0" w:firstRowLastColumn="0" w:lastRowFirstColumn="0" w:lastRowLastColumn="0"/>
              <w:rPr>
                <w:b/>
                <w:bCs/>
              </w:rPr>
            </w:pPr>
            <w:r>
              <w:rPr>
                <w:b/>
                <w:bCs/>
              </w:rPr>
              <w:t xml:space="preserve">P1: </w:t>
            </w:r>
            <w:r w:rsidR="00421FBF" w:rsidRPr="00421FBF">
              <w:t>U</w:t>
            </w:r>
            <w:r w:rsidR="00421FBF" w:rsidRPr="00421FBF">
              <w:rPr>
                <w:rFonts w:cs="Arial"/>
                <w:color w:val="000000" w:themeColor="text1"/>
              </w:rPr>
              <w:t xml:space="preserve">pon successful completion of cell switch, UE releases configured contention-free </w:t>
            </w:r>
            <w:proofErr w:type="gramStart"/>
            <w:r w:rsidR="00421FBF" w:rsidRPr="00421FBF">
              <w:rPr>
                <w:rFonts w:cs="Arial"/>
                <w:color w:val="000000" w:themeColor="text1"/>
              </w:rPr>
              <w:t>Random Access</w:t>
            </w:r>
            <w:proofErr w:type="gramEnd"/>
            <w:r w:rsidR="00421FBF" w:rsidRPr="00421FBF">
              <w:rPr>
                <w:rFonts w:cs="Arial"/>
                <w:color w:val="000000" w:themeColor="text1"/>
              </w:rPr>
              <w:t xml:space="preserve"> Resources in </w:t>
            </w:r>
            <w:proofErr w:type="spellStart"/>
            <w:r w:rsidR="00421FBF" w:rsidRPr="00421FBF">
              <w:rPr>
                <w:rFonts w:cs="Arial"/>
                <w:i/>
                <w:iCs/>
                <w:color w:val="000000" w:themeColor="text1"/>
              </w:rPr>
              <w:t>rach-ConfigDedicated</w:t>
            </w:r>
            <w:proofErr w:type="spellEnd"/>
            <w:r w:rsidR="00421FBF" w:rsidRPr="00421FBF">
              <w:rPr>
                <w:rFonts w:cs="Arial"/>
                <w:color w:val="000000" w:themeColor="text1"/>
              </w:rPr>
              <w:t xml:space="preserve"> if configured in the </w:t>
            </w:r>
            <w:proofErr w:type="spellStart"/>
            <w:r w:rsidR="00421FBF" w:rsidRPr="00421FBF">
              <w:rPr>
                <w:rFonts w:cs="Arial"/>
                <w:i/>
                <w:iCs/>
                <w:color w:val="000000" w:themeColor="text1"/>
              </w:rPr>
              <w:t>reconfigurationWithSync</w:t>
            </w:r>
            <w:proofErr w:type="spellEnd"/>
            <w:r w:rsidR="00421FBF" w:rsidRPr="00421FBF">
              <w:rPr>
                <w:rFonts w:cs="Arial"/>
                <w:i/>
                <w:iCs/>
                <w:color w:val="000000" w:themeColor="text1"/>
              </w:rPr>
              <w:t>.</w:t>
            </w:r>
          </w:p>
          <w:p w14:paraId="2A2F13B9" w14:textId="4C6E7897" w:rsidR="00C51F77" w:rsidRDefault="008E15BB" w:rsidP="00C51F77">
            <w:pPr>
              <w:pStyle w:val="BodyText"/>
              <w:cnfStyle w:val="000000000000" w:firstRow="0" w:lastRow="0" w:firstColumn="0" w:lastColumn="0" w:oddVBand="0" w:evenVBand="0" w:oddHBand="0" w:evenHBand="0" w:firstRowFirstColumn="0" w:firstRowLastColumn="0" w:lastRowFirstColumn="0" w:lastRowLastColumn="0"/>
            </w:pPr>
            <w:r w:rsidRPr="008E15BB">
              <w:rPr>
                <w:b/>
                <w:bCs/>
              </w:rPr>
              <w:t>P</w:t>
            </w:r>
            <w:r w:rsidR="00956796">
              <w:rPr>
                <w:b/>
                <w:bCs/>
              </w:rPr>
              <w:t>2</w:t>
            </w:r>
            <w:r>
              <w:t>:</w:t>
            </w:r>
            <w:r w:rsidR="008513B6">
              <w:t xml:space="preserve"> </w:t>
            </w:r>
            <w:r w:rsidR="00C51F77">
              <w:t xml:space="preserve">Propose following change: </w:t>
            </w:r>
          </w:p>
          <w:p w14:paraId="24765D31" w14:textId="525493B1" w:rsidR="00C653ED" w:rsidRDefault="00C51F77" w:rsidP="00C51F77">
            <w:pPr>
              <w:pStyle w:val="BodyText"/>
              <w:cnfStyle w:val="000000000000" w:firstRow="0" w:lastRow="0" w:firstColumn="0" w:lastColumn="0" w:oddVBand="0" w:evenVBand="0" w:oddHBand="0" w:evenHBand="0" w:firstRowFirstColumn="0" w:firstRowLastColumn="0" w:lastRowFirstColumn="0" w:lastRowLastColumn="0"/>
            </w:pPr>
            <w:r>
              <w:t>“</w:t>
            </w:r>
            <w:proofErr w:type="gramStart"/>
            <w:r w:rsidRPr="00C51F77">
              <w:t>select</w:t>
            </w:r>
            <w:proofErr w:type="gramEnd"/>
            <w:r w:rsidRPr="00C51F77">
              <w:t xml:space="preserve"> the set of Random Access resources configured in </w:t>
            </w:r>
            <w:proofErr w:type="spellStart"/>
            <w:r w:rsidRPr="00C51F77">
              <w:t>EarlyUL-SyncConfig</w:t>
            </w:r>
            <w:proofErr w:type="spellEnd"/>
            <w:r w:rsidRPr="00C51F77">
              <w:t xml:space="preserve"> </w:t>
            </w:r>
            <w:r w:rsidRPr="00C51F77">
              <w:rPr>
                <w:b/>
                <w:bCs/>
                <w:color w:val="FF0000"/>
              </w:rPr>
              <w:t>of the selected UL carrier</w:t>
            </w:r>
            <w:r w:rsidRPr="00C51F77">
              <w:t>, corresponding to the cell indicated by the field Cell indicator in the PDCCH order as specified in TS 38.212 [9].</w:t>
            </w:r>
            <w:r>
              <w:t>”</w:t>
            </w:r>
          </w:p>
        </w:tc>
        <w:tc>
          <w:tcPr>
            <w:tcW w:w="3364" w:type="dxa"/>
          </w:tcPr>
          <w:p w14:paraId="2BCB81F4" w14:textId="1FAA49DC" w:rsidR="00956796" w:rsidRDefault="00421FBF" w:rsidP="00C51F77">
            <w:pPr>
              <w:pStyle w:val="BodyText"/>
              <w:cnfStyle w:val="000000000000" w:firstRow="0" w:lastRow="0" w:firstColumn="0" w:lastColumn="0" w:oddVBand="0" w:evenVBand="0" w:oddHBand="0" w:evenHBand="0" w:firstRowFirstColumn="0" w:firstRowLastColumn="0" w:lastRowFirstColumn="0" w:lastRowLastColumn="0"/>
            </w:pPr>
            <w:r w:rsidRPr="00421FBF">
              <w:rPr>
                <w:b/>
                <w:bCs/>
              </w:rPr>
              <w:t>P1</w:t>
            </w:r>
            <w:r>
              <w:t xml:space="preserve">: </w:t>
            </w:r>
            <w:r w:rsidR="001054D6" w:rsidRPr="008619C9">
              <w:rPr>
                <w:highlight w:val="yellow"/>
              </w:rPr>
              <w:t>To be discussed</w:t>
            </w:r>
            <w:r w:rsidR="001054D6">
              <w:t>. In general</w:t>
            </w:r>
            <w:r w:rsidR="00B37029">
              <w:t>,</w:t>
            </w:r>
            <w:r w:rsidR="001E01CA">
              <w:t xml:space="preserve"> P1 seems to be correct, even if we </w:t>
            </w:r>
            <w:proofErr w:type="gramStart"/>
            <w:r w:rsidR="001E01CA">
              <w:t>needs</w:t>
            </w:r>
            <w:proofErr w:type="gramEnd"/>
            <w:r w:rsidR="001E01CA">
              <w:t xml:space="preserve"> to specify that the random access resources to be released are the one </w:t>
            </w:r>
            <w:r w:rsidR="00B37029">
              <w:t xml:space="preserve">in “current UE configuration”. The </w:t>
            </w:r>
            <w:proofErr w:type="gramStart"/>
            <w:r w:rsidR="00B37029">
              <w:t>Random access</w:t>
            </w:r>
            <w:proofErr w:type="gramEnd"/>
            <w:r w:rsidR="00B37029">
              <w:t xml:space="preserve"> resources within the LTM candidate configuration should not be released as those can be used for subsequent LTM. However, we </w:t>
            </w:r>
            <w:proofErr w:type="gramStart"/>
            <w:r w:rsidR="00B37029">
              <w:t>am</w:t>
            </w:r>
            <w:proofErr w:type="gramEnd"/>
            <w:r w:rsidR="00B37029">
              <w:t xml:space="preserve"> wondering whether something is harmful even if we don’t do this clarification.</w:t>
            </w:r>
          </w:p>
          <w:p w14:paraId="6D7DD5D8" w14:textId="2770C1E7" w:rsidR="0024121C" w:rsidRPr="00C51F77" w:rsidRDefault="00956796" w:rsidP="00C51F77">
            <w:pPr>
              <w:pStyle w:val="BodyText"/>
              <w:cnfStyle w:val="000000000000" w:firstRow="0" w:lastRow="0" w:firstColumn="0" w:lastColumn="0" w:oddVBand="0" w:evenVBand="0" w:oddHBand="0" w:evenHBand="0" w:firstRowFirstColumn="0" w:firstRowLastColumn="0" w:lastRowFirstColumn="0" w:lastRowLastColumn="0"/>
              <w:rPr>
                <w:i/>
                <w:iCs/>
                <w:u w:val="single"/>
              </w:rPr>
            </w:pPr>
            <w:r w:rsidRPr="00421FBF">
              <w:rPr>
                <w:b/>
                <w:bCs/>
              </w:rPr>
              <w:t>P2</w:t>
            </w:r>
            <w:r>
              <w:t xml:space="preserve">: </w:t>
            </w:r>
            <w:r w:rsidR="00C51F77" w:rsidRPr="00C51F77">
              <w:t>To be discussed in the MAC summary.</w:t>
            </w:r>
          </w:p>
          <w:p w14:paraId="47CAFD74" w14:textId="77777777" w:rsidR="00716B90" w:rsidRPr="00573135" w:rsidRDefault="00716B90" w:rsidP="00716B90">
            <w:pPr>
              <w:pStyle w:val="BodyText"/>
              <w:cnfStyle w:val="000000000000" w:firstRow="0" w:lastRow="0" w:firstColumn="0" w:lastColumn="0" w:oddVBand="0" w:evenVBand="0" w:oddHBand="0" w:evenHBand="0" w:firstRowFirstColumn="0" w:firstRowLastColumn="0" w:lastRowFirstColumn="0" w:lastRowLastColumn="0"/>
              <w:rPr>
                <w:iCs/>
              </w:rPr>
            </w:pPr>
          </w:p>
          <w:p w14:paraId="6BE1E06A" w14:textId="013AF33A" w:rsidR="00573135" w:rsidRPr="00573135" w:rsidRDefault="00573135" w:rsidP="00824B17">
            <w:pPr>
              <w:pStyle w:val="BodyText"/>
              <w:cnfStyle w:val="000000000000" w:firstRow="0" w:lastRow="0" w:firstColumn="0" w:lastColumn="0" w:oddVBand="0" w:evenVBand="0" w:oddHBand="0" w:evenHBand="0" w:firstRowFirstColumn="0" w:firstRowLastColumn="0" w:lastRowFirstColumn="0" w:lastRowLastColumn="0"/>
              <w:rPr>
                <w:iCs/>
              </w:rPr>
            </w:pPr>
          </w:p>
        </w:tc>
      </w:tr>
      <w:tr w:rsidR="00AE2AC7" w14:paraId="715F0C33"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5064A5E8" w14:textId="121DE0E6" w:rsidR="00C14350" w:rsidRDefault="00ED71FE" w:rsidP="00824B17">
            <w:pPr>
              <w:pStyle w:val="BodyText"/>
            </w:pPr>
            <w:hyperlink r:id="rId13" w:history="1">
              <w:r w:rsidR="00D8510F" w:rsidRPr="00A75778">
                <w:rPr>
                  <w:rStyle w:val="Hyperlink"/>
                  <w:b w:val="0"/>
                  <w:bCs w:val="0"/>
                </w:rPr>
                <w:t>R2-2500228</w:t>
              </w:r>
            </w:hyperlink>
          </w:p>
        </w:tc>
        <w:tc>
          <w:tcPr>
            <w:tcW w:w="1239" w:type="dxa"/>
          </w:tcPr>
          <w:p w14:paraId="403D99D6" w14:textId="6785CFC1" w:rsidR="00C14350" w:rsidRDefault="00D8510F" w:rsidP="00824B17">
            <w:pPr>
              <w:pStyle w:val="BodyText"/>
              <w:cnfStyle w:val="000000100000" w:firstRow="0" w:lastRow="0" w:firstColumn="0" w:lastColumn="0" w:oddVBand="0" w:evenVBand="0" w:oddHBand="1" w:evenHBand="0" w:firstRowFirstColumn="0" w:firstRowLastColumn="0" w:lastRowFirstColumn="0" w:lastRowLastColumn="0"/>
            </w:pPr>
            <w:r>
              <w:t>CATT</w:t>
            </w:r>
          </w:p>
        </w:tc>
        <w:tc>
          <w:tcPr>
            <w:tcW w:w="3621" w:type="dxa"/>
          </w:tcPr>
          <w:p w14:paraId="16437771" w14:textId="538546DB" w:rsidR="00AE1442" w:rsidRDefault="00C95560" w:rsidP="00C95560">
            <w:pPr>
              <w:pStyle w:val="BodyText"/>
              <w:cnfStyle w:val="000000100000" w:firstRow="0" w:lastRow="0" w:firstColumn="0" w:lastColumn="0" w:oddVBand="0" w:evenVBand="0" w:oddHBand="1" w:evenHBand="0" w:firstRowFirstColumn="0" w:firstRowLastColumn="0" w:lastRowFirstColumn="0" w:lastRowLastColumn="0"/>
            </w:pPr>
            <w:r w:rsidRPr="00C95560">
              <w:rPr>
                <w:b/>
                <w:bCs/>
              </w:rPr>
              <w:t>P1</w:t>
            </w:r>
            <w:r>
              <w:t xml:space="preserve">: </w:t>
            </w:r>
            <w:r w:rsidR="00756806" w:rsidRPr="0011264C">
              <w:rPr>
                <w:rFonts w:eastAsiaTheme="minorEastAsia" w:cs="Arial"/>
              </w:rPr>
              <w:t xml:space="preserve">Add the procedure description about RRC layer indicates lower layer which candidate cell </w:t>
            </w:r>
            <w:r w:rsidR="00756806">
              <w:rPr>
                <w:rFonts w:eastAsiaTheme="minorEastAsia" w:cs="Arial" w:hint="eastAsia"/>
              </w:rPr>
              <w:t>could be performed</w:t>
            </w:r>
            <w:r w:rsidR="00756806" w:rsidRPr="0011264C">
              <w:rPr>
                <w:rFonts w:eastAsiaTheme="minorEastAsia" w:cs="Arial"/>
              </w:rPr>
              <w:t xml:space="preserve"> UE-based TA measurement in case of L3 </w:t>
            </w:r>
            <w:proofErr w:type="spellStart"/>
            <w:r w:rsidR="00756806" w:rsidRPr="0011264C">
              <w:rPr>
                <w:rFonts w:eastAsiaTheme="minorEastAsia" w:cs="Arial"/>
              </w:rPr>
              <w:t>SpCell</w:t>
            </w:r>
            <w:proofErr w:type="spellEnd"/>
            <w:r w:rsidR="00756806" w:rsidRPr="0011264C">
              <w:rPr>
                <w:rFonts w:eastAsiaTheme="minorEastAsia" w:cs="Arial"/>
              </w:rPr>
              <w:t xml:space="preserve"> change execution</w:t>
            </w:r>
            <w:r w:rsidR="00756806">
              <w:rPr>
                <w:rFonts w:eastAsiaTheme="minorEastAsia" w:cs="Arial" w:hint="eastAsia"/>
              </w:rPr>
              <w:t xml:space="preserve"> and with </w:t>
            </w:r>
            <w:proofErr w:type="spellStart"/>
            <w:r w:rsidR="00756806" w:rsidRPr="005B6C54">
              <w:rPr>
                <w:rFonts w:eastAsiaTheme="minorEastAsia" w:cs="Arial"/>
                <w:i/>
              </w:rPr>
              <w:t>ltm</w:t>
            </w:r>
            <w:proofErr w:type="spellEnd"/>
            <w:r w:rsidR="00756806" w:rsidRPr="005B6C54">
              <w:rPr>
                <w:rFonts w:eastAsiaTheme="minorEastAsia" w:cs="Arial"/>
                <w:i/>
              </w:rPr>
              <w:t>-</w:t>
            </w:r>
            <w:proofErr w:type="spellStart"/>
            <w:r w:rsidR="00756806" w:rsidRPr="005B6C54">
              <w:rPr>
                <w:rFonts w:eastAsiaTheme="minorEastAsia" w:cs="Arial"/>
                <w:i/>
              </w:rPr>
              <w:t>ServingCellUE</w:t>
            </w:r>
            <w:proofErr w:type="spellEnd"/>
            <w:r w:rsidR="00756806" w:rsidRPr="005B6C54">
              <w:rPr>
                <w:rFonts w:eastAsiaTheme="minorEastAsia" w:cs="Arial"/>
                <w:i/>
              </w:rPr>
              <w:t>-</w:t>
            </w:r>
            <w:proofErr w:type="spellStart"/>
            <w:r w:rsidR="00756806" w:rsidRPr="005B6C54">
              <w:rPr>
                <w:rFonts w:eastAsiaTheme="minorEastAsia" w:cs="Arial"/>
                <w:i/>
              </w:rPr>
              <w:t>MeasuredTA</w:t>
            </w:r>
            <w:proofErr w:type="spellEnd"/>
            <w:r w:rsidR="00756806" w:rsidRPr="005B6C54">
              <w:rPr>
                <w:rFonts w:eastAsiaTheme="minorEastAsia" w:cs="Arial"/>
                <w:i/>
              </w:rPr>
              <w:t>-ID</w:t>
            </w:r>
            <w:r w:rsidR="00756806">
              <w:rPr>
                <w:rFonts w:eastAsiaTheme="minorEastAsia" w:cs="Arial" w:hint="eastAsia"/>
              </w:rPr>
              <w:t xml:space="preserve"> but without </w:t>
            </w:r>
            <w:proofErr w:type="spellStart"/>
            <w:r w:rsidR="00756806" w:rsidRPr="005B6C54">
              <w:rPr>
                <w:rFonts w:eastAsiaTheme="minorEastAsia" w:cs="Arial"/>
                <w:i/>
              </w:rPr>
              <w:t>ltm-CandidateToAddModLis</w:t>
            </w:r>
            <w:r w:rsidR="00756806" w:rsidRPr="005B6C54">
              <w:rPr>
                <w:rFonts w:eastAsiaTheme="minorEastAsia" w:cs="Arial" w:hint="eastAsia"/>
                <w:i/>
              </w:rPr>
              <w:t>t</w:t>
            </w:r>
            <w:proofErr w:type="spellEnd"/>
            <w:r w:rsidR="00756806">
              <w:rPr>
                <w:rFonts w:eastAsiaTheme="minorEastAsia" w:cs="Arial" w:hint="eastAsia"/>
              </w:rPr>
              <w:t xml:space="preserve"> is </w:t>
            </w:r>
            <w:r w:rsidR="00756806">
              <w:rPr>
                <w:rFonts w:eastAsiaTheme="minorEastAsia" w:cs="Arial"/>
              </w:rPr>
              <w:t>configured</w:t>
            </w:r>
            <w:r w:rsidR="00756806">
              <w:rPr>
                <w:rFonts w:eastAsiaTheme="minorEastAsia" w:cs="Arial" w:hint="eastAsia"/>
              </w:rPr>
              <w:t xml:space="preserve"> within the reconfiguration message</w:t>
            </w:r>
            <w:r w:rsidR="00756806" w:rsidRPr="0011264C">
              <w:rPr>
                <w:rFonts w:eastAsiaTheme="minorEastAsia" w:cs="Arial"/>
              </w:rPr>
              <w:t>.</w:t>
            </w:r>
          </w:p>
        </w:tc>
        <w:tc>
          <w:tcPr>
            <w:tcW w:w="3364" w:type="dxa"/>
          </w:tcPr>
          <w:p w14:paraId="3549F594" w14:textId="7F1A4D0D" w:rsidR="00A51124" w:rsidRDefault="00B37060" w:rsidP="00824B17">
            <w:pPr>
              <w:pStyle w:val="BodyText"/>
              <w:cnfStyle w:val="000000100000" w:firstRow="0" w:lastRow="0" w:firstColumn="0" w:lastColumn="0" w:oddVBand="0" w:evenVBand="0" w:oddHBand="1" w:evenHBand="0" w:firstRowFirstColumn="0" w:firstRowLastColumn="0" w:lastRowFirstColumn="0" w:lastRowLastColumn="0"/>
            </w:pPr>
            <w:r w:rsidRPr="00B37060">
              <w:rPr>
                <w:b/>
                <w:bCs/>
              </w:rPr>
              <w:t>P1</w:t>
            </w:r>
            <w:r w:rsidR="00CC3399">
              <w:rPr>
                <w:b/>
                <w:bCs/>
              </w:rPr>
              <w:t>.</w:t>
            </w:r>
            <w:r w:rsidR="003305DF">
              <w:rPr>
                <w:b/>
                <w:bCs/>
              </w:rPr>
              <w:t xml:space="preserve"> </w:t>
            </w:r>
            <w:r w:rsidR="00756806" w:rsidRPr="008619C9">
              <w:rPr>
                <w:highlight w:val="yellow"/>
              </w:rPr>
              <w:t>To be discussed</w:t>
            </w:r>
            <w:r w:rsidR="00CC3399">
              <w:t xml:space="preserve">. </w:t>
            </w:r>
            <w:r w:rsidR="00756806">
              <w:t xml:space="preserve">Probably the scenario targeted is a corner case. Because the issue is only if the UE performs </w:t>
            </w:r>
            <w:proofErr w:type="gramStart"/>
            <w:r w:rsidR="00756806">
              <w:t>a</w:t>
            </w:r>
            <w:proofErr w:type="gramEnd"/>
            <w:r w:rsidR="00756806">
              <w:t xml:space="preserve"> intra-CU HO with CHO, L3, or CPAC and, at the same time, the new serving cell is not an LTM candidate cell. </w:t>
            </w:r>
            <w:r w:rsidR="00875D4F">
              <w:t xml:space="preserve">Only in this case the UE-based TA may not work. However, </w:t>
            </w:r>
            <w:r w:rsidR="00E12A9A">
              <w:t>for the other cases (inter-CU) the LTM candidate cell may need to be reconfigured or released, as these will be useless for the UE.</w:t>
            </w:r>
            <w:r w:rsidR="00CD2DA8">
              <w:t xml:space="preserve"> But in principle the proposed change can be okay (also looking at Rel-19).</w:t>
            </w:r>
            <w:r w:rsidR="00875D4F">
              <w:t xml:space="preserve"> </w:t>
            </w:r>
            <w:r w:rsidR="003305DF">
              <w:t xml:space="preserve"> </w:t>
            </w:r>
          </w:p>
        </w:tc>
      </w:tr>
      <w:tr w:rsidR="00C14350" w14:paraId="642F4C02"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6663EDC5" w14:textId="540A343C" w:rsidR="00C14350" w:rsidRDefault="00ED71FE" w:rsidP="00824B17">
            <w:pPr>
              <w:pStyle w:val="BodyText"/>
            </w:pPr>
            <w:hyperlink r:id="rId14" w:history="1">
              <w:r w:rsidR="002C501F" w:rsidRPr="00A75778">
                <w:rPr>
                  <w:rStyle w:val="Hyperlink"/>
                  <w:b w:val="0"/>
                  <w:bCs w:val="0"/>
                </w:rPr>
                <w:t>R2-2500333</w:t>
              </w:r>
            </w:hyperlink>
          </w:p>
        </w:tc>
        <w:tc>
          <w:tcPr>
            <w:tcW w:w="1239" w:type="dxa"/>
          </w:tcPr>
          <w:p w14:paraId="22A59854" w14:textId="2A4DAD05" w:rsidR="00C14350" w:rsidRDefault="002C501F" w:rsidP="00824B17">
            <w:pPr>
              <w:pStyle w:val="BodyText"/>
              <w:cnfStyle w:val="000000000000" w:firstRow="0" w:lastRow="0" w:firstColumn="0" w:lastColumn="0" w:oddVBand="0" w:evenVBand="0" w:oddHBand="0" w:evenHBand="0" w:firstRowFirstColumn="0" w:firstRowLastColumn="0" w:lastRowFirstColumn="0" w:lastRowLastColumn="0"/>
            </w:pPr>
            <w:r>
              <w:t>Nokia</w:t>
            </w:r>
          </w:p>
        </w:tc>
        <w:tc>
          <w:tcPr>
            <w:tcW w:w="3621" w:type="dxa"/>
          </w:tcPr>
          <w:p w14:paraId="1D2EBA7D" w14:textId="77777777" w:rsidR="005A255E" w:rsidRDefault="00E72B2E" w:rsidP="005A255E">
            <w:pPr>
              <w:pStyle w:val="BodyText"/>
              <w:cnfStyle w:val="000000000000" w:firstRow="0" w:lastRow="0" w:firstColumn="0" w:lastColumn="0" w:oddVBand="0" w:evenVBand="0" w:oddHBand="0" w:evenHBand="0" w:firstRowFirstColumn="0" w:firstRowLastColumn="0" w:lastRowFirstColumn="0" w:lastRowLastColumn="0"/>
            </w:pPr>
            <w:r w:rsidRPr="00831906">
              <w:rPr>
                <w:b/>
                <w:bCs/>
              </w:rPr>
              <w:t>P1</w:t>
            </w:r>
            <w:r>
              <w:t xml:space="preserve">: </w:t>
            </w:r>
            <w:r w:rsidR="00E01AD2">
              <w:t>Clarify that PDCP recovery is only done for DRB which RLC entity has been re-established.</w:t>
            </w:r>
          </w:p>
          <w:p w14:paraId="31490EE2" w14:textId="77777777" w:rsidR="000C52A8" w:rsidRDefault="000C52A8" w:rsidP="005A255E">
            <w:pPr>
              <w:pStyle w:val="BodyText"/>
              <w:cnfStyle w:val="000000000000" w:firstRow="0" w:lastRow="0" w:firstColumn="0" w:lastColumn="0" w:oddVBand="0" w:evenVBand="0" w:oddHBand="0" w:evenHBand="0" w:firstRowFirstColumn="0" w:firstRowLastColumn="0" w:lastRowFirstColumn="0" w:lastRowLastColumn="0"/>
            </w:pPr>
            <w:r w:rsidRPr="000C52A8">
              <w:rPr>
                <w:b/>
                <w:bCs/>
              </w:rPr>
              <w:t>P2</w:t>
            </w:r>
            <w:r>
              <w:t xml:space="preserve">: </w:t>
            </w:r>
            <w:r w:rsidR="005F2302" w:rsidRPr="005F2302">
              <w:t xml:space="preserve">RAN2 does not consider any further the addition of an explicit information regarding the number of </w:t>
            </w:r>
            <w:proofErr w:type="spellStart"/>
            <w:r w:rsidR="005F2302" w:rsidRPr="005F2302">
              <w:t>SpCells</w:t>
            </w:r>
            <w:proofErr w:type="spellEnd"/>
            <w:r w:rsidR="005F2302" w:rsidRPr="005F2302">
              <w:t xml:space="preserve"> and SCells within the LTM candidate configuration.</w:t>
            </w:r>
          </w:p>
          <w:p w14:paraId="25FA5F7A" w14:textId="77777777" w:rsidR="00B31F2D" w:rsidRDefault="00B31F2D" w:rsidP="005A255E">
            <w:pPr>
              <w:pStyle w:val="BodyText"/>
              <w:cnfStyle w:val="000000000000" w:firstRow="0" w:lastRow="0" w:firstColumn="0" w:lastColumn="0" w:oddVBand="0" w:evenVBand="0" w:oddHBand="0" w:evenHBand="0" w:firstRowFirstColumn="0" w:firstRowLastColumn="0" w:lastRowFirstColumn="0" w:lastRowLastColumn="0"/>
            </w:pPr>
            <w:r w:rsidRPr="00B31F2D">
              <w:rPr>
                <w:b/>
                <w:bCs/>
              </w:rPr>
              <w:t>P3</w:t>
            </w:r>
            <w:r>
              <w:t xml:space="preserve">: </w:t>
            </w:r>
            <w:r w:rsidR="00AD0222" w:rsidRPr="00AD0222">
              <w:t>RAN2 adopts the changes</w:t>
            </w:r>
            <w:r w:rsidR="00AD0222">
              <w:t xml:space="preserve"> suggested by the RAN4 LS </w:t>
            </w:r>
            <w:r w:rsidR="00590D8D">
              <w:t xml:space="preserve">about the </w:t>
            </w:r>
            <w:r w:rsidR="00CD3D1D">
              <w:t xml:space="preserve">FG 39-6 prerequisites </w:t>
            </w:r>
            <w:r w:rsidR="00590D8D">
              <w:t>pre-requisites</w:t>
            </w:r>
            <w:r w:rsidR="00CD3D1D">
              <w:t>.</w:t>
            </w:r>
          </w:p>
          <w:p w14:paraId="4B61EE88" w14:textId="77777777" w:rsidR="00CD3D1D" w:rsidRDefault="00CD3D1D" w:rsidP="005A255E">
            <w:pPr>
              <w:pStyle w:val="BodyText"/>
              <w:cnfStyle w:val="000000000000" w:firstRow="0" w:lastRow="0" w:firstColumn="0" w:lastColumn="0" w:oddVBand="0" w:evenVBand="0" w:oddHBand="0" w:evenHBand="0" w:firstRowFirstColumn="0" w:firstRowLastColumn="0" w:lastRowFirstColumn="0" w:lastRowLastColumn="0"/>
            </w:pPr>
            <w:r w:rsidRPr="00CD3D1D">
              <w:rPr>
                <w:b/>
                <w:bCs/>
              </w:rPr>
              <w:t>P4</w:t>
            </w:r>
            <w:r>
              <w:t xml:space="preserve">: </w:t>
            </w:r>
            <w:r w:rsidR="00E0625B" w:rsidRPr="00E0625B">
              <w:t xml:space="preserve">The use of </w:t>
            </w:r>
            <w:proofErr w:type="spellStart"/>
            <w:r w:rsidR="00E0625B" w:rsidRPr="00E0625B">
              <w:t>ltm</w:t>
            </w:r>
            <w:proofErr w:type="spellEnd"/>
            <w:r w:rsidR="00E0625B" w:rsidRPr="00E0625B">
              <w:t>-UE-</w:t>
            </w:r>
            <w:proofErr w:type="spellStart"/>
            <w:r w:rsidR="00E0625B" w:rsidRPr="00E0625B">
              <w:t>MeasuredTA</w:t>
            </w:r>
            <w:proofErr w:type="spellEnd"/>
            <w:r w:rsidR="00E0625B" w:rsidRPr="00E0625B">
              <w:t xml:space="preserve"> in the 5.3.5.18.6 shall not be allowed when LTM is executed due to the LTM candidate selection in accordance with 5.3.7.3.</w:t>
            </w:r>
          </w:p>
          <w:p w14:paraId="45D1885C" w14:textId="3B2A85C6" w:rsidR="00B3091E" w:rsidRPr="00A27354" w:rsidRDefault="00B3091E" w:rsidP="005A255E">
            <w:pPr>
              <w:pStyle w:val="BodyText"/>
              <w:cnfStyle w:val="000000000000" w:firstRow="0" w:lastRow="0" w:firstColumn="0" w:lastColumn="0" w:oddVBand="0" w:evenVBand="0" w:oddHBand="0" w:evenHBand="0" w:firstRowFirstColumn="0" w:firstRowLastColumn="0" w:lastRowFirstColumn="0" w:lastRowLastColumn="0"/>
            </w:pPr>
            <w:r w:rsidRPr="00B3091E">
              <w:rPr>
                <w:b/>
                <w:bCs/>
              </w:rPr>
              <w:t>P5</w:t>
            </w:r>
            <w:r>
              <w:t xml:space="preserve">: </w:t>
            </w:r>
            <w:r w:rsidR="00F22518" w:rsidRPr="00F22518">
              <w:t>In addition to the number of LTM cells and L1 measurement configuration, MN informs SN about the number of cells for which early synchronization procedures can be performed. Adopt the TP in Annex D in TS 38.331.</w:t>
            </w:r>
          </w:p>
        </w:tc>
        <w:tc>
          <w:tcPr>
            <w:tcW w:w="3364" w:type="dxa"/>
          </w:tcPr>
          <w:p w14:paraId="52AA5D53" w14:textId="7D15E91C" w:rsidR="005F2302" w:rsidRDefault="001B7F50" w:rsidP="00C51CD8">
            <w:pPr>
              <w:pStyle w:val="BodyText"/>
              <w:cnfStyle w:val="000000000000" w:firstRow="0" w:lastRow="0" w:firstColumn="0" w:lastColumn="0" w:oddVBand="0" w:evenVBand="0" w:oddHBand="0" w:evenHBand="0" w:firstRowFirstColumn="0" w:firstRowLastColumn="0" w:lastRowFirstColumn="0" w:lastRowLastColumn="0"/>
            </w:pPr>
            <w:r w:rsidRPr="00B37060">
              <w:rPr>
                <w:b/>
                <w:bCs/>
              </w:rPr>
              <w:t>P1</w:t>
            </w:r>
            <w:r>
              <w:rPr>
                <w:b/>
                <w:bCs/>
              </w:rPr>
              <w:t xml:space="preserve">. </w:t>
            </w:r>
            <w:r w:rsidR="00E01AD2" w:rsidRPr="00971EC1">
              <w:rPr>
                <w:highlight w:val="green"/>
              </w:rPr>
              <w:t>To be agreed</w:t>
            </w:r>
            <w:r w:rsidR="00E01AD2">
              <w:t>. The change seems to make sense</w:t>
            </w:r>
            <w:r w:rsidR="009A08E1">
              <w:t xml:space="preserve"> as there is no need to do PDCP recovery for DRBs which RLC entity has not been re-established.</w:t>
            </w:r>
            <w:r w:rsidR="000C52A8">
              <w:t xml:space="preserve"> However, the change could be slightly different, in the sense that we can append the suggested text in the existing once, as it makes sense to keep “current UE configuration”</w:t>
            </w:r>
            <w:r w:rsidR="00E01AD2">
              <w:t>.</w:t>
            </w:r>
          </w:p>
          <w:p w14:paraId="1ED7FE3E" w14:textId="77777777" w:rsidR="005F2302" w:rsidRDefault="005F2302" w:rsidP="00C51CD8">
            <w:pPr>
              <w:pStyle w:val="BodyText"/>
              <w:cnfStyle w:val="000000000000" w:firstRow="0" w:lastRow="0" w:firstColumn="0" w:lastColumn="0" w:oddVBand="0" w:evenVBand="0" w:oddHBand="0" w:evenHBand="0" w:firstRowFirstColumn="0" w:firstRowLastColumn="0" w:lastRowFirstColumn="0" w:lastRowLastColumn="0"/>
            </w:pPr>
            <w:r w:rsidRPr="005F2302">
              <w:rPr>
                <w:b/>
                <w:bCs/>
              </w:rPr>
              <w:t>P2</w:t>
            </w:r>
            <w:r>
              <w:t xml:space="preserve">: </w:t>
            </w:r>
            <w:r w:rsidRPr="008619C9">
              <w:rPr>
                <w:highlight w:val="yellow"/>
              </w:rPr>
              <w:t>To be discussed</w:t>
            </w:r>
            <w:r>
              <w:t>. It seems there are different views on this, so better to discuss this during the meeting.</w:t>
            </w:r>
          </w:p>
          <w:p w14:paraId="02181AF8" w14:textId="77777777" w:rsidR="005F2302" w:rsidRDefault="005F2302" w:rsidP="00C51CD8">
            <w:pPr>
              <w:pStyle w:val="BodyText"/>
              <w:cnfStyle w:val="000000000000" w:firstRow="0" w:lastRow="0" w:firstColumn="0" w:lastColumn="0" w:oddVBand="0" w:evenVBand="0" w:oddHBand="0" w:evenHBand="0" w:firstRowFirstColumn="0" w:firstRowLastColumn="0" w:lastRowFirstColumn="0" w:lastRowLastColumn="0"/>
            </w:pPr>
            <w:r w:rsidRPr="005F2302">
              <w:rPr>
                <w:b/>
                <w:bCs/>
              </w:rPr>
              <w:t>P3</w:t>
            </w:r>
            <w:r>
              <w:t xml:space="preserve">: </w:t>
            </w:r>
            <w:r w:rsidR="00CD3D1D" w:rsidRPr="00971EC1">
              <w:rPr>
                <w:highlight w:val="green"/>
              </w:rPr>
              <w:t>To be agreed</w:t>
            </w:r>
            <w:r w:rsidR="00CD3D1D">
              <w:t>. The change seems straightforward as this is what RAN4 is asking us to do.</w:t>
            </w:r>
          </w:p>
          <w:p w14:paraId="5E10682D" w14:textId="77777777" w:rsidR="00E0625B" w:rsidRDefault="00E0625B" w:rsidP="00C51CD8">
            <w:pPr>
              <w:pStyle w:val="BodyText"/>
              <w:cnfStyle w:val="000000000000" w:firstRow="0" w:lastRow="0" w:firstColumn="0" w:lastColumn="0" w:oddVBand="0" w:evenVBand="0" w:oddHBand="0" w:evenHBand="0" w:firstRowFirstColumn="0" w:firstRowLastColumn="0" w:lastRowFirstColumn="0" w:lastRowLastColumn="0"/>
            </w:pPr>
            <w:r w:rsidRPr="00E0625B">
              <w:rPr>
                <w:b/>
                <w:bCs/>
              </w:rPr>
              <w:t>P4</w:t>
            </w:r>
            <w:r>
              <w:t xml:space="preserve">: </w:t>
            </w:r>
            <w:r w:rsidRPr="002837D6">
              <w:rPr>
                <w:highlight w:val="red"/>
              </w:rPr>
              <w:t>Not pursued</w:t>
            </w:r>
            <w:r>
              <w:t>. The interpretation seems to be not correct.</w:t>
            </w:r>
            <w:r w:rsidR="00B3091E">
              <w:t xml:space="preserve"> The part of text which is referred is “after” the LTM cell switch is done (because of fast RLF recovery) and to configure the UE to do UE-based TA for the “next” LTM cell switch. This is not in contrast with the agreement. However, maybe we can have a note in the LTM execution section to clarify that, even if the UE has done UE-based TA, the UE should always do RACH if the LTM execution is due to a cell selection.</w:t>
            </w:r>
          </w:p>
          <w:p w14:paraId="126913F5" w14:textId="6302D291" w:rsidR="00F22518" w:rsidRDefault="00F22518" w:rsidP="00C51CD8">
            <w:pPr>
              <w:pStyle w:val="BodyText"/>
              <w:cnfStyle w:val="000000000000" w:firstRow="0" w:lastRow="0" w:firstColumn="0" w:lastColumn="0" w:oddVBand="0" w:evenVBand="0" w:oddHBand="0" w:evenHBand="0" w:firstRowFirstColumn="0" w:firstRowLastColumn="0" w:lastRowFirstColumn="0" w:lastRowLastColumn="0"/>
            </w:pPr>
            <w:r>
              <w:t xml:space="preserve">P5: </w:t>
            </w:r>
            <w:r w:rsidR="008C02B3" w:rsidRPr="002837D6">
              <w:rPr>
                <w:highlight w:val="red"/>
              </w:rPr>
              <w:t>Not pursued</w:t>
            </w:r>
            <w:r>
              <w:t>. According to stage 2 we have “</w:t>
            </w:r>
            <w:r w:rsidR="00445D3E" w:rsidRPr="00860CDE">
              <w:t xml:space="preserve">the MN indicates the maximum number of LTM candidate configurations the SN is allowed to configure for SCG LTM, </w:t>
            </w:r>
            <w:r w:rsidR="00445D3E" w:rsidRPr="00445D3E">
              <w:rPr>
                <w:i/>
                <w:iCs/>
                <w:u w:val="single"/>
              </w:rPr>
              <w:t>to ensure that UE capabilities are not exceeded</w:t>
            </w:r>
            <w:r w:rsidR="00445D3E">
              <w:t>”. This already implies that MN is responsible that capabilities are not exceeded. We don’t need additional signalling for the early TA acquisition procedure.</w:t>
            </w:r>
          </w:p>
        </w:tc>
      </w:tr>
      <w:tr w:rsidR="00AE2AC7" w14:paraId="5471A3B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0583D6CD" w14:textId="2111DA5B" w:rsidR="00C14350" w:rsidRDefault="00ED71FE" w:rsidP="00824B17">
            <w:pPr>
              <w:pStyle w:val="BodyText"/>
            </w:pPr>
            <w:hyperlink r:id="rId15" w:history="1">
              <w:r w:rsidR="00D63411" w:rsidRPr="00A75778">
                <w:rPr>
                  <w:rStyle w:val="Hyperlink"/>
                  <w:b w:val="0"/>
                  <w:bCs w:val="0"/>
                </w:rPr>
                <w:t>R2-2500356</w:t>
              </w:r>
            </w:hyperlink>
          </w:p>
        </w:tc>
        <w:tc>
          <w:tcPr>
            <w:tcW w:w="1239" w:type="dxa"/>
          </w:tcPr>
          <w:p w14:paraId="2DD4236E" w14:textId="771721D6" w:rsidR="00C14350" w:rsidRDefault="00D63411" w:rsidP="00824B17">
            <w:pPr>
              <w:pStyle w:val="BodyText"/>
              <w:cnfStyle w:val="000000100000" w:firstRow="0" w:lastRow="0" w:firstColumn="0" w:lastColumn="0" w:oddVBand="0" w:evenVBand="0" w:oddHBand="1" w:evenHBand="0" w:firstRowFirstColumn="0" w:firstRowLastColumn="0" w:lastRowFirstColumn="0" w:lastRowLastColumn="0"/>
            </w:pPr>
            <w:r>
              <w:t>Vivo</w:t>
            </w:r>
          </w:p>
        </w:tc>
        <w:tc>
          <w:tcPr>
            <w:tcW w:w="3621" w:type="dxa"/>
          </w:tcPr>
          <w:p w14:paraId="7950BC09" w14:textId="77777777" w:rsidR="005802D1" w:rsidRDefault="00C44F12" w:rsidP="00824B17">
            <w:pPr>
              <w:pStyle w:val="BodyText"/>
              <w:cnfStyle w:val="000000100000" w:firstRow="0" w:lastRow="0" w:firstColumn="0" w:lastColumn="0" w:oddVBand="0" w:evenVBand="0" w:oddHBand="1" w:evenHBand="0" w:firstRowFirstColumn="0" w:firstRowLastColumn="0" w:lastRowFirstColumn="0" w:lastRowLastColumn="0"/>
            </w:pPr>
            <w:r w:rsidRPr="00C44F12">
              <w:rPr>
                <w:b/>
                <w:bCs/>
              </w:rPr>
              <w:t>P1</w:t>
            </w:r>
            <w:r>
              <w:t xml:space="preserve">: </w:t>
            </w:r>
            <w:r w:rsidR="00B30139" w:rsidRPr="00B30139">
              <w:t>Correct current specification to make UE only perform SCG LTM configuration release procedure once when UE performs RRC re-establishment.</w:t>
            </w:r>
          </w:p>
          <w:p w14:paraId="3E600C33" w14:textId="47991D24" w:rsidR="007D7C1A" w:rsidRDefault="007D7C1A" w:rsidP="00824B17">
            <w:pPr>
              <w:pStyle w:val="BodyText"/>
              <w:cnfStyle w:val="000000100000" w:firstRow="0" w:lastRow="0" w:firstColumn="0" w:lastColumn="0" w:oddVBand="0" w:evenVBand="0" w:oddHBand="1" w:evenHBand="0" w:firstRowFirstColumn="0" w:firstRowLastColumn="0" w:lastRowFirstColumn="0" w:lastRowLastColumn="0"/>
            </w:pPr>
            <w:r w:rsidRPr="007D7C1A">
              <w:rPr>
                <w:b/>
                <w:bCs/>
              </w:rPr>
              <w:t>P2</w:t>
            </w:r>
            <w:r>
              <w:t xml:space="preserve">: </w:t>
            </w:r>
            <w:r w:rsidR="00FF01F9" w:rsidRPr="00FF01F9">
              <w:t>The terms that “CHO with candidate SCG(s)” and “subsequent CPAC” are distinguished from the “CHO” and “CPA/CPC” in the whole RRC specification.</w:t>
            </w:r>
          </w:p>
        </w:tc>
        <w:tc>
          <w:tcPr>
            <w:tcW w:w="3364" w:type="dxa"/>
          </w:tcPr>
          <w:p w14:paraId="28F46BDC" w14:textId="77777777" w:rsidR="009574E6" w:rsidRDefault="00B825AF" w:rsidP="00824B17">
            <w:pPr>
              <w:pStyle w:val="BodyText"/>
              <w:cnfStyle w:val="000000100000" w:firstRow="0" w:lastRow="0" w:firstColumn="0" w:lastColumn="0" w:oddVBand="0" w:evenVBand="0" w:oddHBand="1" w:evenHBand="0" w:firstRowFirstColumn="0" w:firstRowLastColumn="0" w:lastRowFirstColumn="0" w:lastRowLastColumn="0"/>
            </w:pPr>
            <w:r w:rsidRPr="006933B0">
              <w:rPr>
                <w:b/>
                <w:bCs/>
              </w:rPr>
              <w:t>P1</w:t>
            </w:r>
            <w:r>
              <w:t>:</w:t>
            </w:r>
            <w:r w:rsidR="00D321D9">
              <w:t xml:space="preserve"> </w:t>
            </w:r>
            <w:r w:rsidR="00B30139" w:rsidRPr="002837D6">
              <w:rPr>
                <w:highlight w:val="red"/>
              </w:rPr>
              <w:t>Not pursued</w:t>
            </w:r>
            <w:r w:rsidR="008619C9">
              <w:t>.</w:t>
            </w:r>
            <w:r w:rsidR="00185BCA">
              <w:t xml:space="preserve"> </w:t>
            </w:r>
            <w:r w:rsidR="00B30139">
              <w:t xml:space="preserve">The procedural text looks correct. </w:t>
            </w:r>
            <w:r w:rsidR="00AF5D2F">
              <w:t>The UE will only release the LTM configuration once</w:t>
            </w:r>
            <w:r w:rsidR="007F7269">
              <w:t xml:space="preserve"> but, even if it was to release twice, then I guess there is not issue about this.</w:t>
            </w:r>
          </w:p>
          <w:p w14:paraId="05C0E72F" w14:textId="0652E751" w:rsidR="00FF01F9" w:rsidRDefault="00FF01F9" w:rsidP="00824B17">
            <w:pPr>
              <w:pStyle w:val="BodyText"/>
              <w:cnfStyle w:val="000000100000" w:firstRow="0" w:lastRow="0" w:firstColumn="0" w:lastColumn="0" w:oddVBand="0" w:evenVBand="0" w:oddHBand="1" w:evenHBand="0" w:firstRowFirstColumn="0" w:firstRowLastColumn="0" w:lastRowFirstColumn="0" w:lastRowLastColumn="0"/>
            </w:pPr>
            <w:r w:rsidRPr="006933B0">
              <w:rPr>
                <w:b/>
                <w:bCs/>
              </w:rPr>
              <w:t>P1</w:t>
            </w:r>
            <w:r>
              <w:t xml:space="preserve">: </w:t>
            </w:r>
            <w:r w:rsidRPr="002837D6">
              <w:rPr>
                <w:highlight w:val="red"/>
              </w:rPr>
              <w:t>Not pursued</w:t>
            </w:r>
            <w:r>
              <w:t>. The term “CHO” can indeed cover both “CHO” and “CHO with SCGs” and same goes for the term “CPA</w:t>
            </w:r>
            <w:r w:rsidR="0009413E">
              <w:t xml:space="preserve">/CPC”. We should not repeat 4 terms all over the </w:t>
            </w:r>
            <w:proofErr w:type="gramStart"/>
            <w:r w:rsidR="0009413E">
              <w:t>spec</w:t>
            </w:r>
            <w:proofErr w:type="gramEnd"/>
            <w:r w:rsidR="0009413E">
              <w:t xml:space="preserve"> but we should rather use “CHO with SCGs” and “Subsequent CPAC” only when something applies specifically to these cases.</w:t>
            </w:r>
          </w:p>
        </w:tc>
      </w:tr>
      <w:tr w:rsidR="00C14350" w14:paraId="7EC715D5"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6A221FC" w14:textId="7685680E" w:rsidR="00C14350" w:rsidRDefault="00ED71FE" w:rsidP="00824B17">
            <w:pPr>
              <w:pStyle w:val="BodyText"/>
            </w:pPr>
            <w:hyperlink r:id="rId16" w:history="1">
              <w:r w:rsidR="009439AA" w:rsidRPr="001F5452">
                <w:rPr>
                  <w:rStyle w:val="Hyperlink"/>
                  <w:b w:val="0"/>
                  <w:bCs w:val="0"/>
                </w:rPr>
                <w:t>R2-2500374</w:t>
              </w:r>
            </w:hyperlink>
          </w:p>
        </w:tc>
        <w:tc>
          <w:tcPr>
            <w:tcW w:w="1239" w:type="dxa"/>
          </w:tcPr>
          <w:p w14:paraId="34FE821C" w14:textId="3B3A1221" w:rsidR="00C14350" w:rsidRDefault="009439AA" w:rsidP="00824B17">
            <w:pPr>
              <w:pStyle w:val="BodyText"/>
              <w:cnfStyle w:val="000000000000" w:firstRow="0" w:lastRow="0" w:firstColumn="0" w:lastColumn="0" w:oddVBand="0" w:evenVBand="0" w:oddHBand="0" w:evenHBand="0" w:firstRowFirstColumn="0" w:firstRowLastColumn="0" w:lastRowFirstColumn="0" w:lastRowLastColumn="0"/>
            </w:pPr>
            <w:proofErr w:type="spellStart"/>
            <w:r>
              <w:t>Ofinno</w:t>
            </w:r>
            <w:proofErr w:type="spellEnd"/>
          </w:p>
        </w:tc>
        <w:tc>
          <w:tcPr>
            <w:tcW w:w="3621" w:type="dxa"/>
          </w:tcPr>
          <w:p w14:paraId="22D2438A" w14:textId="633DB8E3"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0520DD">
              <w:rPr>
                <w:b/>
                <w:bCs/>
              </w:rPr>
              <w:t>P1</w:t>
            </w:r>
            <w:r>
              <w:t xml:space="preserve">: </w:t>
            </w:r>
            <w:r w:rsidR="00EB1DFF" w:rsidRPr="00EB1DFF">
              <w:rPr>
                <w:rFonts w:eastAsiaTheme="minorEastAsia" w:cs="Arial"/>
              </w:rPr>
              <w:t xml:space="preserve">RAN2 to confirm that the UE reverts </w:t>
            </w:r>
            <w:proofErr w:type="spellStart"/>
            <w:r w:rsidR="00EB1DFF" w:rsidRPr="00EB1DFF">
              <w:rPr>
                <w:rFonts w:eastAsiaTheme="minorEastAsia" w:cs="Arial"/>
              </w:rPr>
              <w:t>ltm</w:t>
            </w:r>
            <w:proofErr w:type="spellEnd"/>
            <w:r w:rsidR="00EB1DFF" w:rsidRPr="00EB1DFF">
              <w:rPr>
                <w:rFonts w:eastAsiaTheme="minorEastAsia" w:cs="Arial"/>
              </w:rPr>
              <w:t>-</w:t>
            </w:r>
            <w:proofErr w:type="spellStart"/>
            <w:r w:rsidR="00EB1DFF" w:rsidRPr="00EB1DFF">
              <w:rPr>
                <w:rFonts w:eastAsiaTheme="minorEastAsia" w:cs="Arial"/>
              </w:rPr>
              <w:t>ServingCellUE</w:t>
            </w:r>
            <w:proofErr w:type="spellEnd"/>
            <w:r w:rsidR="00EB1DFF" w:rsidRPr="00EB1DFF">
              <w:rPr>
                <w:rFonts w:eastAsiaTheme="minorEastAsia" w:cs="Arial"/>
              </w:rPr>
              <w:t>-</w:t>
            </w:r>
            <w:proofErr w:type="spellStart"/>
            <w:r w:rsidR="00EB1DFF" w:rsidRPr="00EB1DFF">
              <w:rPr>
                <w:rFonts w:eastAsiaTheme="minorEastAsia" w:cs="Arial"/>
              </w:rPr>
              <w:t>MeasuredTA</w:t>
            </w:r>
            <w:proofErr w:type="spellEnd"/>
            <w:r w:rsidR="00EB1DFF" w:rsidRPr="00EB1DFF">
              <w:rPr>
                <w:rFonts w:eastAsiaTheme="minorEastAsia" w:cs="Arial"/>
              </w:rPr>
              <w:t xml:space="preserve">-ID used in the source </w:t>
            </w:r>
            <w:proofErr w:type="spellStart"/>
            <w:r w:rsidR="00EB1DFF" w:rsidRPr="00EB1DFF">
              <w:rPr>
                <w:rFonts w:eastAsiaTheme="minorEastAsia" w:cs="Arial"/>
              </w:rPr>
              <w:t>PCell</w:t>
            </w:r>
            <w:proofErr w:type="spellEnd"/>
            <w:r w:rsidR="00EB1DFF" w:rsidRPr="00EB1DFF">
              <w:rPr>
                <w:rFonts w:eastAsiaTheme="minorEastAsia" w:cs="Arial"/>
              </w:rPr>
              <w:t xml:space="preserve"> when T304 is expired</w:t>
            </w:r>
            <w:r w:rsidR="00EB1DFF">
              <w:rPr>
                <w:rFonts w:eastAsiaTheme="minorEastAsia" w:cs="Arial"/>
              </w:rPr>
              <w:t>.</w:t>
            </w:r>
          </w:p>
        </w:tc>
        <w:tc>
          <w:tcPr>
            <w:tcW w:w="3364" w:type="dxa"/>
          </w:tcPr>
          <w:p w14:paraId="7775D707" w14:textId="2189B2DC" w:rsidR="00692B61" w:rsidRDefault="000520DD" w:rsidP="00824B17">
            <w:pPr>
              <w:pStyle w:val="BodyText"/>
              <w:cnfStyle w:val="000000000000" w:firstRow="0" w:lastRow="0" w:firstColumn="0" w:lastColumn="0" w:oddVBand="0" w:evenVBand="0" w:oddHBand="0" w:evenHBand="0" w:firstRowFirstColumn="0" w:firstRowLastColumn="0" w:lastRowFirstColumn="0" w:lastRowLastColumn="0"/>
            </w:pPr>
            <w:r w:rsidRPr="009E15FB">
              <w:rPr>
                <w:b/>
                <w:bCs/>
              </w:rPr>
              <w:t>P</w:t>
            </w:r>
            <w:r w:rsidR="00692B61">
              <w:rPr>
                <w:b/>
                <w:bCs/>
              </w:rPr>
              <w:t>1</w:t>
            </w:r>
            <w:r>
              <w:t>:</w:t>
            </w:r>
            <w:r w:rsidRPr="009E15FB">
              <w:t xml:space="preserve"> </w:t>
            </w:r>
            <w:r w:rsidR="002837D6" w:rsidRPr="002837D6">
              <w:rPr>
                <w:highlight w:val="red"/>
              </w:rPr>
              <w:t>Not pursued</w:t>
            </w:r>
            <w:r w:rsidR="002837D6">
              <w:t xml:space="preserve">. </w:t>
            </w:r>
            <w:r w:rsidR="00EB1DFF">
              <w:t xml:space="preserve">When we say UE </w:t>
            </w:r>
            <w:proofErr w:type="gramStart"/>
            <w:r w:rsidR="00EB1DFF">
              <w:t>reverts back</w:t>
            </w:r>
            <w:proofErr w:type="gramEnd"/>
            <w:r w:rsidR="00EB1DFF">
              <w:t xml:space="preserve"> to the previous UE configuration it shall also include the UE variable</w:t>
            </w:r>
            <w:r w:rsidR="00E90899">
              <w:t xml:space="preserve"> (which are not normative text anyway)</w:t>
            </w:r>
            <w:r w:rsidR="00EB1DFF">
              <w:t xml:space="preserve">. </w:t>
            </w:r>
            <w:r w:rsidR="00E5623E">
              <w:t xml:space="preserve">Also, </w:t>
            </w:r>
            <w:proofErr w:type="gramStart"/>
            <w:r w:rsidR="00E5623E">
              <w:t>at the moment</w:t>
            </w:r>
            <w:proofErr w:type="gramEnd"/>
            <w:r w:rsidR="00E5623E">
              <w:t xml:space="preserve"> of the procedural text, the UE has not yet released the </w:t>
            </w:r>
            <w:r w:rsidR="00E90899">
              <w:t>LTM configuration so the UE variables should also not be released.</w:t>
            </w:r>
          </w:p>
        </w:tc>
      </w:tr>
      <w:tr w:rsidR="00AE2AC7" w14:paraId="6B91DE6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69D9AF8" w14:textId="57EBC090" w:rsidR="00C14350" w:rsidRDefault="00ED71FE" w:rsidP="00824B17">
            <w:pPr>
              <w:pStyle w:val="BodyText"/>
            </w:pPr>
            <w:hyperlink r:id="rId17" w:history="1">
              <w:r w:rsidR="00C35389" w:rsidRPr="001F5452">
                <w:rPr>
                  <w:rStyle w:val="Hyperlink"/>
                  <w:b w:val="0"/>
                  <w:bCs w:val="0"/>
                </w:rPr>
                <w:t>R2-2500540</w:t>
              </w:r>
            </w:hyperlink>
          </w:p>
        </w:tc>
        <w:tc>
          <w:tcPr>
            <w:tcW w:w="1239" w:type="dxa"/>
          </w:tcPr>
          <w:p w14:paraId="574EE90B" w14:textId="68954EB0" w:rsidR="00C14350" w:rsidRDefault="008B507A" w:rsidP="00824B17">
            <w:pPr>
              <w:pStyle w:val="BodyText"/>
              <w:cnfStyle w:val="000000100000" w:firstRow="0" w:lastRow="0" w:firstColumn="0" w:lastColumn="0" w:oddVBand="0" w:evenVBand="0" w:oddHBand="1" w:evenHBand="0" w:firstRowFirstColumn="0" w:firstRowLastColumn="0" w:lastRowFirstColumn="0" w:lastRowLastColumn="0"/>
            </w:pPr>
            <w:r>
              <w:t>MediaTek</w:t>
            </w:r>
          </w:p>
        </w:tc>
        <w:tc>
          <w:tcPr>
            <w:tcW w:w="3621" w:type="dxa"/>
          </w:tcPr>
          <w:p w14:paraId="094F39BE" w14:textId="610E883F" w:rsidR="009409AD"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E84077">
              <w:rPr>
                <w:b/>
                <w:bCs/>
              </w:rPr>
              <w:t>P1</w:t>
            </w:r>
            <w:r>
              <w:t xml:space="preserve">: </w:t>
            </w:r>
            <w:r w:rsidR="00AA7785" w:rsidRPr="00AA7785">
              <w:t>Removal of prerequisite of ltm-FastProcessingConfig-r18</w:t>
            </w:r>
            <w:r w:rsidR="00AA7785">
              <w:t xml:space="preserve"> according to the received RAN4 LS.</w:t>
            </w:r>
          </w:p>
        </w:tc>
        <w:tc>
          <w:tcPr>
            <w:tcW w:w="3364" w:type="dxa"/>
          </w:tcPr>
          <w:p w14:paraId="3F66F355" w14:textId="3C0A69E0" w:rsidR="002C52E7" w:rsidRDefault="00B11300"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t xml:space="preserve">: </w:t>
            </w:r>
            <w:r w:rsidR="001E3F67" w:rsidRPr="00971EC1">
              <w:rPr>
                <w:highlight w:val="green"/>
              </w:rPr>
              <w:t>To be agreed</w:t>
            </w:r>
            <w:r>
              <w:t xml:space="preserve">. </w:t>
            </w:r>
            <w:r w:rsidR="00AA7785">
              <w:t>RAN4 asked us to do this, so the change seems straightforward.</w:t>
            </w:r>
          </w:p>
        </w:tc>
      </w:tr>
      <w:tr w:rsidR="00C7709E" w14:paraId="12DDDA3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22344BBF" w14:textId="5E3BD2FE" w:rsidR="00C7709E" w:rsidRPr="00C7709E" w:rsidRDefault="00ED71FE" w:rsidP="00824B17">
            <w:pPr>
              <w:pStyle w:val="BodyText"/>
            </w:pPr>
            <w:hyperlink r:id="rId18" w:history="1">
              <w:r w:rsidR="00560AED" w:rsidRPr="001F5452">
                <w:rPr>
                  <w:rStyle w:val="Hyperlink"/>
                  <w:b w:val="0"/>
                  <w:bCs w:val="0"/>
                </w:rPr>
                <w:t>R2-2500728</w:t>
              </w:r>
            </w:hyperlink>
          </w:p>
        </w:tc>
        <w:tc>
          <w:tcPr>
            <w:tcW w:w="1239" w:type="dxa"/>
          </w:tcPr>
          <w:p w14:paraId="4B4AB454" w14:textId="432A2C33" w:rsidR="00C7709E" w:rsidRDefault="00560AED" w:rsidP="00824B17">
            <w:pPr>
              <w:pStyle w:val="BodyText"/>
              <w:cnfStyle w:val="000000000000" w:firstRow="0" w:lastRow="0" w:firstColumn="0" w:lastColumn="0" w:oddVBand="0" w:evenVBand="0" w:oddHBand="0" w:evenHBand="0" w:firstRowFirstColumn="0" w:firstRowLastColumn="0" w:lastRowFirstColumn="0" w:lastRowLastColumn="0"/>
            </w:pPr>
            <w:r>
              <w:t>Google</w:t>
            </w:r>
          </w:p>
        </w:tc>
        <w:tc>
          <w:tcPr>
            <w:tcW w:w="3621" w:type="dxa"/>
          </w:tcPr>
          <w:p w14:paraId="0BF4E178" w14:textId="0D37506D" w:rsidR="00A50F6A" w:rsidRDefault="00162AA8" w:rsidP="00824B17">
            <w:pPr>
              <w:pStyle w:val="BodyText"/>
              <w:cnfStyle w:val="000000000000" w:firstRow="0" w:lastRow="0" w:firstColumn="0" w:lastColumn="0" w:oddVBand="0" w:evenVBand="0" w:oddHBand="0" w:evenHBand="0" w:firstRowFirstColumn="0" w:firstRowLastColumn="0" w:lastRowFirstColumn="0" w:lastRowLastColumn="0"/>
            </w:pPr>
            <w:r w:rsidRPr="00E84077">
              <w:rPr>
                <w:b/>
                <w:bCs/>
              </w:rPr>
              <w:t>P1:</w:t>
            </w:r>
            <w:r>
              <w:t xml:space="preserve"> </w:t>
            </w:r>
            <w:r w:rsidR="001A702A" w:rsidRPr="001A702A">
              <w:t>The UE does not discard the CFRA resources explicitly signalled in the LTM Cell Switch Command in the MAC reset, and discards the CFRA resources only when the UE successfully completes the LTM cell switch</w:t>
            </w:r>
          </w:p>
        </w:tc>
        <w:tc>
          <w:tcPr>
            <w:tcW w:w="3364" w:type="dxa"/>
          </w:tcPr>
          <w:p w14:paraId="4C7A8219" w14:textId="62EC0346" w:rsidR="008D31D3" w:rsidRPr="00B123C2" w:rsidRDefault="00B123C2" w:rsidP="00824B17">
            <w:pPr>
              <w:pStyle w:val="BodyText"/>
              <w:cnfStyle w:val="000000000000" w:firstRow="0" w:lastRow="0" w:firstColumn="0" w:lastColumn="0" w:oddVBand="0" w:evenVBand="0" w:oddHBand="0" w:evenHBand="0" w:firstRowFirstColumn="0" w:firstRowLastColumn="0" w:lastRowFirstColumn="0" w:lastRowLastColumn="0"/>
              <w:rPr>
                <w:b/>
                <w:bCs/>
              </w:rPr>
            </w:pPr>
            <w:r w:rsidRPr="00B123C2">
              <w:rPr>
                <w:b/>
                <w:bCs/>
              </w:rPr>
              <w:t>P1</w:t>
            </w:r>
            <w:r>
              <w:rPr>
                <w:b/>
                <w:bCs/>
              </w:rPr>
              <w:t>.</w:t>
            </w:r>
            <w:r w:rsidR="008D31D3">
              <w:rPr>
                <w:b/>
                <w:bCs/>
              </w:rPr>
              <w:t xml:space="preserve"> </w:t>
            </w:r>
            <w:r w:rsidR="001A702A" w:rsidRPr="00C51F77">
              <w:t>To be discussed in the MAC summary.</w:t>
            </w:r>
          </w:p>
        </w:tc>
      </w:tr>
      <w:tr w:rsidR="00C7709E" w14:paraId="7D16EC06"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2C4E369" w14:textId="6881EDF2" w:rsidR="00C7709E" w:rsidRPr="00C7709E" w:rsidRDefault="00ED71FE" w:rsidP="00824B17">
            <w:pPr>
              <w:pStyle w:val="BodyText"/>
            </w:pPr>
            <w:hyperlink r:id="rId19" w:history="1">
              <w:r w:rsidR="008C1089" w:rsidRPr="001F5452">
                <w:rPr>
                  <w:rStyle w:val="Hyperlink"/>
                  <w:b w:val="0"/>
                  <w:bCs w:val="0"/>
                </w:rPr>
                <w:t>R2-2500962</w:t>
              </w:r>
            </w:hyperlink>
          </w:p>
        </w:tc>
        <w:tc>
          <w:tcPr>
            <w:tcW w:w="1239" w:type="dxa"/>
          </w:tcPr>
          <w:p w14:paraId="06553047" w14:textId="014E0B55" w:rsidR="00C7709E" w:rsidRDefault="008C1089" w:rsidP="00824B17">
            <w:pPr>
              <w:pStyle w:val="BodyText"/>
              <w:cnfStyle w:val="000000100000" w:firstRow="0" w:lastRow="0" w:firstColumn="0" w:lastColumn="0" w:oddVBand="0" w:evenVBand="0" w:oddHBand="1" w:evenHBand="0" w:firstRowFirstColumn="0" w:firstRowLastColumn="0" w:lastRowFirstColumn="0" w:lastRowLastColumn="0"/>
            </w:pPr>
            <w:r>
              <w:t>Huawei</w:t>
            </w:r>
          </w:p>
        </w:tc>
        <w:tc>
          <w:tcPr>
            <w:tcW w:w="3621" w:type="dxa"/>
          </w:tcPr>
          <w:p w14:paraId="6104AAC3" w14:textId="7ABAEE9B" w:rsidR="00B9000E" w:rsidRDefault="00DF2A44" w:rsidP="00B9000E">
            <w:pPr>
              <w:pStyle w:val="BodyText"/>
              <w:cnfStyle w:val="000000100000" w:firstRow="0" w:lastRow="0" w:firstColumn="0" w:lastColumn="0" w:oddVBand="0" w:evenVBand="0" w:oddHBand="1" w:evenHBand="0" w:firstRowFirstColumn="0" w:firstRowLastColumn="0" w:lastRowFirstColumn="0" w:lastRowLastColumn="0"/>
            </w:pPr>
            <w:r w:rsidRPr="00E648D3">
              <w:rPr>
                <w:b/>
                <w:bCs/>
              </w:rPr>
              <w:t>P1</w:t>
            </w:r>
            <w:r>
              <w:t xml:space="preserve">: </w:t>
            </w:r>
            <w:r w:rsidR="00B9000E">
              <w:t>Correct the Interruption time of Figure G-2 (make it end with TLTM-IU).</w:t>
            </w:r>
          </w:p>
          <w:p w14:paraId="0B17E265" w14:textId="70609ADB" w:rsidR="00B9000E" w:rsidRDefault="00B9000E" w:rsidP="00B9000E">
            <w:pPr>
              <w:pStyle w:val="BodyText"/>
              <w:cnfStyle w:val="000000100000" w:firstRow="0" w:lastRow="0" w:firstColumn="0" w:lastColumn="0" w:oddVBand="0" w:evenVBand="0" w:oddHBand="1" w:evenHBand="0" w:firstRowFirstColumn="0" w:firstRowLastColumn="0" w:lastRowFirstColumn="0" w:lastRowLastColumn="0"/>
            </w:pPr>
            <w:r w:rsidRPr="00B9000E">
              <w:rPr>
                <w:b/>
                <w:bCs/>
              </w:rPr>
              <w:t>P2</w:t>
            </w:r>
            <w:r>
              <w:t xml:space="preserve">: Replace the </w:t>
            </w:r>
            <w:proofErr w:type="spellStart"/>
            <w:r>
              <w:t>Tfirst</w:t>
            </w:r>
            <w:proofErr w:type="spellEnd"/>
            <w:r>
              <w:t>-data by TLTM-IU of Figure G-3.</w:t>
            </w:r>
          </w:p>
          <w:p w14:paraId="5EF9F4AF" w14:textId="77777777" w:rsidR="00E648D3" w:rsidRDefault="00B9000E" w:rsidP="00B9000E">
            <w:pPr>
              <w:pStyle w:val="BodyText"/>
              <w:cnfStyle w:val="000000100000" w:firstRow="0" w:lastRow="0" w:firstColumn="0" w:lastColumn="0" w:oddVBand="0" w:evenVBand="0" w:oddHBand="1" w:evenHBand="0" w:firstRowFirstColumn="0" w:firstRowLastColumn="0" w:lastRowFirstColumn="0" w:lastRowLastColumn="0"/>
            </w:pPr>
            <w:r w:rsidRPr="00B9000E">
              <w:rPr>
                <w:b/>
                <w:bCs/>
              </w:rPr>
              <w:t>P3</w:t>
            </w:r>
            <w:r>
              <w:t>: Add ‘Mobility latency’ in Figure G-2 and G-3.</w:t>
            </w:r>
          </w:p>
          <w:p w14:paraId="362CCBA5" w14:textId="77777777" w:rsidR="0081173A" w:rsidRDefault="0081173A" w:rsidP="0081173A">
            <w:pPr>
              <w:pStyle w:val="BodyText"/>
              <w:cnfStyle w:val="000000100000" w:firstRow="0" w:lastRow="0" w:firstColumn="0" w:lastColumn="0" w:oddVBand="0" w:evenVBand="0" w:oddHBand="1" w:evenHBand="0" w:firstRowFirstColumn="0" w:firstRowLastColumn="0" w:lastRowFirstColumn="0" w:lastRowLastColumn="0"/>
            </w:pPr>
            <w:r w:rsidRPr="0081173A">
              <w:rPr>
                <w:b/>
                <w:bCs/>
              </w:rPr>
              <w:t>P4</w:t>
            </w:r>
            <w:r>
              <w:t xml:space="preserve">: For ssb-Periodicity-r18, change to Need S and use a new IE SSB-Periodicity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6F8D4C42" w14:textId="77777777" w:rsidR="0081173A" w:rsidRDefault="0081173A" w:rsidP="0081173A">
            <w:pPr>
              <w:pStyle w:val="BodyText"/>
              <w:cnfStyle w:val="000000100000" w:firstRow="0" w:lastRow="0" w:firstColumn="0" w:lastColumn="0" w:oddVBand="0" w:evenVBand="0" w:oddHBand="1" w:evenHBand="0" w:firstRowFirstColumn="0" w:firstRowLastColumn="0" w:lastRowFirstColumn="0" w:lastRowLastColumn="0"/>
            </w:pPr>
            <w:r w:rsidRPr="0081173A">
              <w:rPr>
                <w:b/>
                <w:bCs/>
              </w:rPr>
              <w:t>P5</w:t>
            </w:r>
            <w:r>
              <w:t>: For ssb-PositionsInBurst-r18, capture that it is always present and use a new IE SSB-</w:t>
            </w:r>
            <w:proofErr w:type="spellStart"/>
            <w:r>
              <w:t>PositionsInBurst</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4AF8941D" w14:textId="77777777" w:rsidR="0081173A" w:rsidRDefault="0081173A" w:rsidP="0081173A">
            <w:pPr>
              <w:pStyle w:val="BodyText"/>
              <w:cnfStyle w:val="000000100000" w:firstRow="0" w:lastRow="0" w:firstColumn="0" w:lastColumn="0" w:oddVBand="0" w:evenVBand="0" w:oddHBand="1" w:evenHBand="0" w:firstRowFirstColumn="0" w:firstRowLastColumn="0" w:lastRowFirstColumn="0" w:lastRowLastColumn="0"/>
            </w:pPr>
            <w:r w:rsidRPr="0081173A">
              <w:rPr>
                <w:b/>
                <w:bCs/>
              </w:rPr>
              <w:t>P6</w:t>
            </w:r>
            <w:r>
              <w:t>: For ss-PBCH-BlockPower-r18, capture that it is always present and use a new IE SS-PBCH-</w:t>
            </w:r>
            <w:proofErr w:type="spellStart"/>
            <w:r>
              <w:t>BlockPower</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p>
          <w:p w14:paraId="3E2A2DAA" w14:textId="77777777" w:rsidR="00F31BE1" w:rsidRDefault="00F31BE1" w:rsidP="0081173A">
            <w:pPr>
              <w:pStyle w:val="BodyText"/>
              <w:cnfStyle w:val="000000100000" w:firstRow="0" w:lastRow="0" w:firstColumn="0" w:lastColumn="0" w:oddVBand="0" w:evenVBand="0" w:oddHBand="1" w:evenHBand="0" w:firstRowFirstColumn="0" w:firstRowLastColumn="0" w:lastRowFirstColumn="0" w:lastRowLastColumn="0"/>
            </w:pPr>
            <w:r w:rsidRPr="00F31BE1">
              <w:rPr>
                <w:b/>
                <w:bCs/>
              </w:rPr>
              <w:t>P7</w:t>
            </w:r>
            <w:r>
              <w:t xml:space="preserve">: </w:t>
            </w:r>
            <w:r w:rsidRPr="00F31BE1">
              <w:t xml:space="preserve">Capture that the </w:t>
            </w:r>
            <w:proofErr w:type="spellStart"/>
            <w:r w:rsidRPr="00F31BE1">
              <w:t>unifiedTCI-StateType</w:t>
            </w:r>
            <w:proofErr w:type="spellEnd"/>
            <w:r w:rsidRPr="00F31BE1">
              <w:t xml:space="preserve"> in LTM-TCI-Info should be the same </w:t>
            </w:r>
            <w:proofErr w:type="gramStart"/>
            <w:r w:rsidRPr="00F31BE1">
              <w:t>like</w:t>
            </w:r>
            <w:proofErr w:type="gramEnd"/>
            <w:r w:rsidRPr="00F31BE1">
              <w:t xml:space="preserve"> the </w:t>
            </w:r>
            <w:proofErr w:type="spellStart"/>
            <w:r w:rsidRPr="00F31BE1">
              <w:t>unifiedTCI-StateType</w:t>
            </w:r>
            <w:proofErr w:type="spellEnd"/>
            <w:r w:rsidRPr="00F31BE1">
              <w:t xml:space="preserve"> in the candidate cell configuration (</w:t>
            </w:r>
            <w:proofErr w:type="spellStart"/>
            <w:r w:rsidRPr="00F31BE1">
              <w:t>ltm-CandidateConfig</w:t>
            </w:r>
            <w:proofErr w:type="spellEnd"/>
            <w:r w:rsidRPr="00F31BE1">
              <w:t>), as already agreed in RAN2#126.</w:t>
            </w:r>
          </w:p>
          <w:p w14:paraId="73E8E2F1" w14:textId="77777777" w:rsidR="00BF2E33" w:rsidRDefault="00BF2E33" w:rsidP="0081173A">
            <w:pPr>
              <w:pStyle w:val="BodyText"/>
              <w:cnfStyle w:val="000000100000" w:firstRow="0" w:lastRow="0" w:firstColumn="0" w:lastColumn="0" w:oddVBand="0" w:evenVBand="0" w:oddHBand="1" w:evenHBand="0" w:firstRowFirstColumn="0" w:firstRowLastColumn="0" w:lastRowFirstColumn="0" w:lastRowLastColumn="0"/>
            </w:pPr>
            <w:r w:rsidRPr="00BF2E33">
              <w:rPr>
                <w:b/>
                <w:bCs/>
              </w:rPr>
              <w:t>P8</w:t>
            </w:r>
            <w:r>
              <w:t xml:space="preserve">: </w:t>
            </w:r>
            <w:r w:rsidR="0079098E" w:rsidRPr="0079098E">
              <w:t xml:space="preserve">In the LTM cell switch execution procedure, remove the procedure text for the case when </w:t>
            </w:r>
            <w:proofErr w:type="spellStart"/>
            <w:r w:rsidR="0079098E" w:rsidRPr="0079098E">
              <w:t>ltm</w:t>
            </w:r>
            <w:proofErr w:type="spellEnd"/>
            <w:r w:rsidR="0079098E" w:rsidRPr="0079098E">
              <w:t>-UE-</w:t>
            </w:r>
            <w:proofErr w:type="spellStart"/>
            <w:r w:rsidR="0079098E" w:rsidRPr="0079098E">
              <w:t>MeasuredTA</w:t>
            </w:r>
            <w:proofErr w:type="spellEnd"/>
            <w:r w:rsidR="0079098E" w:rsidRPr="0079098E">
              <w:t>-ID is not configured for the LTM-Candidate to which the UE is switching.</w:t>
            </w:r>
          </w:p>
          <w:p w14:paraId="3BD3FB80" w14:textId="77777777" w:rsidR="008E6303" w:rsidRDefault="008E6303" w:rsidP="0081173A">
            <w:pPr>
              <w:pStyle w:val="BodyText"/>
              <w:cnfStyle w:val="000000100000" w:firstRow="0" w:lastRow="0" w:firstColumn="0" w:lastColumn="0" w:oddVBand="0" w:evenVBand="0" w:oddHBand="1" w:evenHBand="0" w:firstRowFirstColumn="0" w:firstRowLastColumn="0" w:lastRowFirstColumn="0" w:lastRowLastColumn="0"/>
            </w:pPr>
            <w:r w:rsidRPr="008E6303">
              <w:rPr>
                <w:b/>
                <w:bCs/>
              </w:rPr>
              <w:t>P9</w:t>
            </w:r>
            <w:r>
              <w:t xml:space="preserve">: </w:t>
            </w:r>
            <w:r w:rsidRPr="008E6303">
              <w:t xml:space="preserve">Replace the last action at the end of the LTM cell switch execution procedure with "release the radio bearer(s) without </w:t>
            </w:r>
            <w:proofErr w:type="spellStart"/>
            <w:r w:rsidRPr="008E6303">
              <w:t>pdcp</w:t>
            </w:r>
            <w:proofErr w:type="spellEnd"/>
            <w:r w:rsidRPr="008E6303">
              <w:t xml:space="preserve">-Config and the logical channel(s) without </w:t>
            </w:r>
            <w:proofErr w:type="spellStart"/>
            <w:r w:rsidRPr="008E6303">
              <w:t>servedRadioBearer</w:t>
            </w:r>
            <w:proofErr w:type="spellEnd"/>
            <w:r w:rsidRPr="008E6303">
              <w:t>".</w:t>
            </w:r>
          </w:p>
          <w:p w14:paraId="304C9084" w14:textId="77777777" w:rsidR="008520E9" w:rsidRDefault="008A1620" w:rsidP="0081173A">
            <w:pPr>
              <w:pStyle w:val="BodyText"/>
              <w:cnfStyle w:val="000000100000" w:firstRow="0" w:lastRow="0" w:firstColumn="0" w:lastColumn="0" w:oddVBand="0" w:evenVBand="0" w:oddHBand="1" w:evenHBand="0" w:firstRowFirstColumn="0" w:firstRowLastColumn="0" w:lastRowFirstColumn="0" w:lastRowLastColumn="0"/>
            </w:pPr>
            <w:r w:rsidRPr="008A1620">
              <w:rPr>
                <w:b/>
                <w:bCs/>
              </w:rPr>
              <w:t>P10</w:t>
            </w:r>
            <w:r>
              <w:t xml:space="preserve">: </w:t>
            </w:r>
            <w:r w:rsidR="008520E9" w:rsidRPr="008520E9">
              <w:t xml:space="preserve">Capture in TS 38.331 clause 5.3.5.3 that, when RACH-less LTM cell switch is completed, the UE shall release the uplink configured grant for RACH-less LTM cell switch, if configured (this is like RACH-less handover and does not affect the </w:t>
            </w:r>
            <w:proofErr w:type="spellStart"/>
            <w:r w:rsidR="008520E9" w:rsidRPr="008520E9">
              <w:t>RRCReconfiguration</w:t>
            </w:r>
            <w:proofErr w:type="spellEnd"/>
            <w:r w:rsidR="008520E9" w:rsidRPr="008520E9">
              <w:t xml:space="preserve"> message in </w:t>
            </w:r>
            <w:proofErr w:type="spellStart"/>
            <w:r w:rsidR="008520E9" w:rsidRPr="008520E9">
              <w:t>ltm-CandidateConfig</w:t>
            </w:r>
            <w:proofErr w:type="spellEnd"/>
            <w:r w:rsidR="008520E9" w:rsidRPr="008520E9">
              <w:t>).</w:t>
            </w:r>
          </w:p>
          <w:p w14:paraId="0D29D44F" w14:textId="3BE67EFC" w:rsidR="008520E9" w:rsidRPr="00F31BE1" w:rsidRDefault="008520E9" w:rsidP="0081173A">
            <w:pPr>
              <w:pStyle w:val="BodyText"/>
              <w:cnfStyle w:val="000000100000" w:firstRow="0" w:lastRow="0" w:firstColumn="0" w:lastColumn="0" w:oddVBand="0" w:evenVBand="0" w:oddHBand="1" w:evenHBand="0" w:firstRowFirstColumn="0" w:firstRowLastColumn="0" w:lastRowFirstColumn="0" w:lastRowLastColumn="0"/>
            </w:pPr>
            <w:r w:rsidRPr="008520E9">
              <w:rPr>
                <w:b/>
                <w:bCs/>
              </w:rPr>
              <w:t>P11</w:t>
            </w:r>
            <w:r>
              <w:t>:</w:t>
            </w:r>
            <w:r w:rsidR="000E56C3">
              <w:t xml:space="preserve"> </w:t>
            </w:r>
            <w:r w:rsidR="000E56C3" w:rsidRPr="000E56C3">
              <w:t xml:space="preserve">Capture that cg-LTM-Configuration is optionally present in the default uplink BWP of the </w:t>
            </w:r>
            <w:proofErr w:type="spellStart"/>
            <w:r w:rsidR="000E56C3" w:rsidRPr="000E56C3">
              <w:t>SpCell</w:t>
            </w:r>
            <w:proofErr w:type="spellEnd"/>
            <w:r w:rsidR="000E56C3" w:rsidRPr="000E56C3">
              <w:t xml:space="preserve"> in the </w:t>
            </w:r>
            <w:proofErr w:type="spellStart"/>
            <w:r w:rsidR="000E56C3" w:rsidRPr="000E56C3">
              <w:t>RRCReconfiguration</w:t>
            </w:r>
            <w:proofErr w:type="spellEnd"/>
            <w:r w:rsidR="000E56C3" w:rsidRPr="000E56C3">
              <w:t xml:space="preserve"> message contained in </w:t>
            </w:r>
            <w:proofErr w:type="spellStart"/>
            <w:r w:rsidR="000E56C3" w:rsidRPr="000E56C3">
              <w:t>ltm-</w:t>
            </w:r>
            <w:proofErr w:type="gramStart"/>
            <w:r w:rsidR="000E56C3" w:rsidRPr="000E56C3">
              <w:t>CandidateConfig</w:t>
            </w:r>
            <w:proofErr w:type="spellEnd"/>
            <w:r w:rsidR="000E56C3" w:rsidRPr="000E56C3">
              <w:t>, and</w:t>
            </w:r>
            <w:proofErr w:type="gramEnd"/>
            <w:r w:rsidR="000E56C3" w:rsidRPr="000E56C3">
              <w:t xml:space="preserve"> cannot be included in more than one </w:t>
            </w:r>
            <w:proofErr w:type="spellStart"/>
            <w:r w:rsidR="000E56C3" w:rsidRPr="000E56C3">
              <w:t>ConfiguredGrantConfig</w:t>
            </w:r>
            <w:proofErr w:type="spellEnd"/>
            <w:r w:rsidR="000E56C3" w:rsidRPr="000E56C3">
              <w:t xml:space="preserve"> in that uplink BWP.</w:t>
            </w:r>
          </w:p>
        </w:tc>
        <w:tc>
          <w:tcPr>
            <w:tcW w:w="3364" w:type="dxa"/>
          </w:tcPr>
          <w:p w14:paraId="39A094C5" w14:textId="77777777" w:rsidR="00352524" w:rsidRDefault="00E648D3" w:rsidP="00824B17">
            <w:pPr>
              <w:pStyle w:val="BodyText"/>
              <w:cnfStyle w:val="000000100000" w:firstRow="0" w:lastRow="0" w:firstColumn="0" w:lastColumn="0" w:oddVBand="0" w:evenVBand="0" w:oddHBand="1" w:evenHBand="0" w:firstRowFirstColumn="0" w:firstRowLastColumn="0" w:lastRowFirstColumn="0" w:lastRowLastColumn="0"/>
            </w:pPr>
            <w:r w:rsidRPr="00B123C2">
              <w:rPr>
                <w:b/>
                <w:bCs/>
              </w:rPr>
              <w:t>P1</w:t>
            </w:r>
            <w:r w:rsidR="00B9000E">
              <w:rPr>
                <w:b/>
                <w:bCs/>
              </w:rPr>
              <w:t>-P3</w:t>
            </w:r>
            <w:r>
              <w:t xml:space="preserve">: </w:t>
            </w:r>
            <w:r w:rsidR="00B61E2D" w:rsidRPr="008619C9">
              <w:rPr>
                <w:highlight w:val="yellow"/>
              </w:rPr>
              <w:t>To be discussed</w:t>
            </w:r>
            <w:r w:rsidR="00B61E2D">
              <w:t xml:space="preserve">. The discussion is whether we want to introduce the RAN4 interruption in Figure </w:t>
            </w:r>
            <w:r w:rsidR="004620D8">
              <w:t>G-2 and G-3, but probably since those figures are indicative there is no need to modify them further. If we introduce the “mobility latency” then we would need to clarify the difference between “mobility latency” and “interruption”.</w:t>
            </w:r>
          </w:p>
          <w:p w14:paraId="7A0C09F4" w14:textId="77777777" w:rsidR="0081173A" w:rsidRDefault="0081173A" w:rsidP="00824B17">
            <w:pPr>
              <w:pStyle w:val="BodyText"/>
              <w:cnfStyle w:val="000000100000" w:firstRow="0" w:lastRow="0" w:firstColumn="0" w:lastColumn="0" w:oddVBand="0" w:evenVBand="0" w:oddHBand="1" w:evenHBand="0" w:firstRowFirstColumn="0" w:firstRowLastColumn="0" w:lastRowFirstColumn="0" w:lastRowLastColumn="0"/>
            </w:pPr>
            <w:r w:rsidRPr="0081173A">
              <w:rPr>
                <w:b/>
                <w:bCs/>
              </w:rPr>
              <w:t>P4-P6</w:t>
            </w:r>
            <w:r>
              <w:rPr>
                <w:b/>
                <w:bCs/>
              </w:rPr>
              <w:t xml:space="preserve">: </w:t>
            </w:r>
            <w:r w:rsidRPr="00971EC1">
              <w:rPr>
                <w:highlight w:val="green"/>
              </w:rPr>
              <w:t>To be agreed</w:t>
            </w:r>
            <w:r>
              <w:t>. Agree that makes sense to have such field descriptions but maybe we should not create a new IE as it could be a bit cumbersome. We have multiple definition of SSB configuration, and this new IE would be anyway a subset of the whole SSB configuration. Therefore, better to include the single IEs.</w:t>
            </w:r>
          </w:p>
          <w:p w14:paraId="7B009903" w14:textId="77777777" w:rsidR="00F31BE1" w:rsidRDefault="00F31BE1"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P7: </w:t>
            </w:r>
            <w:r w:rsidRPr="00971EC1">
              <w:rPr>
                <w:highlight w:val="green"/>
              </w:rPr>
              <w:t>To be agreed</w:t>
            </w:r>
            <w:r>
              <w:t>. Thi</w:t>
            </w:r>
            <w:r w:rsidR="002D2DB0">
              <w:t>s seems straightforward.</w:t>
            </w:r>
          </w:p>
          <w:p w14:paraId="3344B11E" w14:textId="77777777" w:rsidR="0079098E" w:rsidRDefault="0079098E"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P8: </w:t>
            </w:r>
            <w:r w:rsidR="006D6A86" w:rsidRPr="008619C9">
              <w:rPr>
                <w:highlight w:val="yellow"/>
              </w:rPr>
              <w:t>To be discussed</w:t>
            </w:r>
            <w:r w:rsidR="006D6A86">
              <w:t xml:space="preserve">. It seems that it is anyway necessary to handle the case where initially the UE is configured with UE-based TA and then is switched to a candidate where the UE-based TA is not configured. Maybe one option would be to </w:t>
            </w:r>
            <w:r w:rsidR="00D27735">
              <w:t xml:space="preserve">say “UE-based TA measurements </w:t>
            </w:r>
            <w:r w:rsidR="00D27735" w:rsidRPr="00D27735">
              <w:rPr>
                <w:color w:val="FF0000"/>
              </w:rPr>
              <w:t xml:space="preserve">for any configured </w:t>
            </w:r>
            <w:r w:rsidR="00D27735">
              <w:t>LTM-Candidate”</w:t>
            </w:r>
          </w:p>
          <w:p w14:paraId="7E0FDFFE" w14:textId="77777777" w:rsidR="008E6303" w:rsidRDefault="008E6303"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P9: </w:t>
            </w:r>
            <w:r w:rsidRPr="008619C9">
              <w:rPr>
                <w:highlight w:val="yellow"/>
              </w:rPr>
              <w:t>To be discussed</w:t>
            </w:r>
            <w:r>
              <w:t>. This could be one option</w:t>
            </w:r>
            <w:r w:rsidR="00B21034">
              <w:t>. Another option would be to either mention the logical channel identity or the radio bearer identity.</w:t>
            </w:r>
          </w:p>
          <w:p w14:paraId="3285522C" w14:textId="77777777" w:rsidR="00591452" w:rsidRDefault="00591452" w:rsidP="00824B17">
            <w:pPr>
              <w:pStyle w:val="BodyText"/>
              <w:cnfStyle w:val="000000100000" w:firstRow="0" w:lastRow="0" w:firstColumn="0" w:lastColumn="0" w:oddVBand="0" w:evenVBand="0" w:oddHBand="1" w:evenHBand="0" w:firstRowFirstColumn="0" w:firstRowLastColumn="0" w:lastRowFirstColumn="0" w:lastRowLastColumn="0"/>
            </w:pPr>
            <w:r>
              <w:rPr>
                <w:b/>
                <w:bCs/>
              </w:rPr>
              <w:t xml:space="preserve">P10: </w:t>
            </w:r>
            <w:r w:rsidRPr="002837D6">
              <w:rPr>
                <w:highlight w:val="red"/>
              </w:rPr>
              <w:t>Not pursued</w:t>
            </w:r>
            <w:r>
              <w:t xml:space="preserve">. We discussed this in the work </w:t>
            </w:r>
            <w:proofErr w:type="gramStart"/>
            <w:r>
              <w:t>item</w:t>
            </w:r>
            <w:proofErr w:type="gramEnd"/>
            <w:r>
              <w:t xml:space="preserve"> and we agreed that network needs to release this explicitly:</w:t>
            </w:r>
          </w:p>
          <w:p w14:paraId="05E5F2B6" w14:textId="77777777" w:rsidR="00117FCA" w:rsidRDefault="00117FCA" w:rsidP="00117FCA">
            <w:pPr>
              <w:pStyle w:val="Agreement"/>
              <w:numPr>
                <w:ilvl w:val="0"/>
                <w:numId w:val="0"/>
              </w:numPr>
              <w:ind w:left="283"/>
              <w:cnfStyle w:val="000000100000" w:firstRow="0" w:lastRow="0" w:firstColumn="0" w:lastColumn="0" w:oddVBand="0" w:evenVBand="0" w:oddHBand="1" w:evenHBand="0" w:firstRowFirstColumn="0" w:firstRowLastColumn="0" w:lastRowFirstColumn="0" w:lastRowLastColumn="0"/>
              <w:rPr>
                <w:i/>
                <w:iCs/>
              </w:rPr>
            </w:pPr>
            <w:r w:rsidRPr="00117FCA">
              <w:rPr>
                <w:i/>
                <w:iCs/>
              </w:rPr>
              <w:t>Observation: In cases for which it is desired that CG used for LTM is not used further once the UE has made the cell its new serving cell, it is assumed that the network could release Type1 CG resource on LTM completion (existing functionality)</w:t>
            </w:r>
          </w:p>
          <w:p w14:paraId="4C22AAFF" w14:textId="4F028197" w:rsidR="00117FCA" w:rsidRDefault="00117FCA" w:rsidP="00117FCA">
            <w:pP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117FCA">
              <w:rPr>
                <w:rFonts w:ascii="Arial" w:hAnsi="Arial"/>
                <w:lang w:eastAsia="zh-CN"/>
              </w:rPr>
              <w:t>Therefore,</w:t>
            </w:r>
            <w:r>
              <w:rPr>
                <w:rFonts w:ascii="Arial" w:hAnsi="Arial"/>
                <w:lang w:eastAsia="zh-CN"/>
              </w:rPr>
              <w:t xml:space="preserve"> would be good to not modify now this principle.</w:t>
            </w:r>
          </w:p>
          <w:p w14:paraId="5E40E37A" w14:textId="0BD9AFCB" w:rsidR="00117FCA" w:rsidRPr="00117FCA" w:rsidRDefault="00117FCA" w:rsidP="00117FCA">
            <w:pPr>
              <w:cnfStyle w:val="000000100000" w:firstRow="0" w:lastRow="0" w:firstColumn="0" w:lastColumn="0" w:oddVBand="0" w:evenVBand="0" w:oddHBand="1" w:evenHBand="0" w:firstRowFirstColumn="0" w:firstRowLastColumn="0" w:lastRowFirstColumn="0" w:lastRowLastColumn="0"/>
              <w:rPr>
                <w:rFonts w:ascii="Arial" w:hAnsi="Arial"/>
                <w:lang w:eastAsia="zh-CN"/>
              </w:rPr>
            </w:pPr>
            <w:r w:rsidRPr="00117FCA">
              <w:rPr>
                <w:rFonts w:ascii="Arial" w:hAnsi="Arial"/>
                <w:b/>
                <w:bCs/>
                <w:lang w:eastAsia="zh-CN"/>
              </w:rPr>
              <w:t>P11</w:t>
            </w:r>
            <w:r>
              <w:rPr>
                <w:rFonts w:ascii="Arial" w:hAnsi="Arial"/>
                <w:lang w:eastAsia="zh-CN"/>
              </w:rPr>
              <w:t xml:space="preserve">:  </w:t>
            </w:r>
            <w:r w:rsidR="00415BB2" w:rsidRPr="00415BB2">
              <w:rPr>
                <w:rFonts w:ascii="Arial" w:hAnsi="Arial"/>
                <w:highlight w:val="yellow"/>
                <w:lang w:eastAsia="zh-CN"/>
              </w:rPr>
              <w:t>To be discussed.</w:t>
            </w:r>
            <w:r w:rsidR="00415BB2">
              <w:rPr>
                <w:rFonts w:ascii="Arial" w:hAnsi="Arial"/>
                <w:lang w:eastAsia="zh-CN"/>
              </w:rPr>
              <w:t xml:space="preserve"> This was never discussed within the work </w:t>
            </w:r>
            <w:proofErr w:type="gramStart"/>
            <w:r w:rsidR="00415BB2">
              <w:rPr>
                <w:rFonts w:ascii="Arial" w:hAnsi="Arial"/>
                <w:lang w:eastAsia="zh-CN"/>
              </w:rPr>
              <w:t>item</w:t>
            </w:r>
            <w:proofErr w:type="gramEnd"/>
            <w:r w:rsidR="00415BB2">
              <w:rPr>
                <w:rFonts w:ascii="Arial" w:hAnsi="Arial"/>
                <w:lang w:eastAsia="zh-CN"/>
              </w:rPr>
              <w:t xml:space="preserve"> and we don’t see why having such restriction as the UE</w:t>
            </w:r>
            <w:r w:rsidR="00772FAE">
              <w:rPr>
                <w:rFonts w:ascii="Arial" w:hAnsi="Arial"/>
                <w:lang w:eastAsia="zh-CN"/>
              </w:rPr>
              <w:t xml:space="preserve"> can be switched directly to a BWP which is from the default BWP. We don’t think this change needs to be done now.</w:t>
            </w:r>
            <w:r w:rsidR="008050EB">
              <w:rPr>
                <w:rFonts w:ascii="Arial" w:hAnsi="Arial"/>
                <w:lang w:eastAsia="zh-CN"/>
              </w:rPr>
              <w:t xml:space="preserve"> Also, we never discussed whether this field can be configured in more than one </w:t>
            </w:r>
            <w:proofErr w:type="spellStart"/>
            <w:r w:rsidR="008050EB">
              <w:rPr>
                <w:rFonts w:ascii="Arial" w:hAnsi="Arial"/>
                <w:lang w:eastAsia="zh-CN"/>
              </w:rPr>
              <w:t>ConfiguredGrantConfig</w:t>
            </w:r>
            <w:proofErr w:type="spellEnd"/>
            <w:r w:rsidR="008050EB">
              <w:rPr>
                <w:rFonts w:ascii="Arial" w:hAnsi="Arial"/>
                <w:lang w:eastAsia="zh-CN"/>
              </w:rPr>
              <w:t xml:space="preserve"> (even </w:t>
            </w:r>
            <w:proofErr w:type="gramStart"/>
            <w:r w:rsidR="008050EB">
              <w:rPr>
                <w:rFonts w:ascii="Arial" w:hAnsi="Arial"/>
                <w:lang w:eastAsia="zh-CN"/>
              </w:rPr>
              <w:t>is maybe is</w:t>
            </w:r>
            <w:proofErr w:type="gramEnd"/>
            <w:r w:rsidR="008050EB">
              <w:rPr>
                <w:rFonts w:ascii="Arial" w:hAnsi="Arial"/>
                <w:lang w:eastAsia="zh-CN"/>
              </w:rPr>
              <w:t xml:space="preserve"> reasonable to say that we can configured in only one).</w:t>
            </w:r>
          </w:p>
          <w:p w14:paraId="18C29D3D" w14:textId="2D519981" w:rsidR="00591452" w:rsidRPr="0081173A" w:rsidRDefault="00591452" w:rsidP="00824B17">
            <w:pPr>
              <w:pStyle w:val="BodyText"/>
              <w:cnfStyle w:val="000000100000" w:firstRow="0" w:lastRow="0" w:firstColumn="0" w:lastColumn="0" w:oddVBand="0" w:evenVBand="0" w:oddHBand="1" w:evenHBand="0" w:firstRowFirstColumn="0" w:firstRowLastColumn="0" w:lastRowFirstColumn="0" w:lastRowLastColumn="0"/>
              <w:rPr>
                <w:b/>
                <w:bCs/>
              </w:rPr>
            </w:pPr>
          </w:p>
        </w:tc>
      </w:tr>
      <w:tr w:rsidR="00C7709E" w14:paraId="0981F4B0"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7549C393" w14:textId="5F2D327A" w:rsidR="00C7709E" w:rsidRPr="00C7709E" w:rsidRDefault="00ED71FE" w:rsidP="00824B17">
            <w:pPr>
              <w:pStyle w:val="BodyText"/>
            </w:pPr>
            <w:hyperlink r:id="rId20" w:history="1">
              <w:r w:rsidR="005C158B" w:rsidRPr="001F5452">
                <w:rPr>
                  <w:rStyle w:val="Hyperlink"/>
                  <w:b w:val="0"/>
                  <w:bCs w:val="0"/>
                </w:rPr>
                <w:t>R2-2500963</w:t>
              </w:r>
            </w:hyperlink>
          </w:p>
        </w:tc>
        <w:tc>
          <w:tcPr>
            <w:tcW w:w="1239" w:type="dxa"/>
          </w:tcPr>
          <w:p w14:paraId="29E0CFD8" w14:textId="729C9C96" w:rsidR="00C7709E" w:rsidRDefault="00DE20C8" w:rsidP="00824B17">
            <w:pPr>
              <w:pStyle w:val="BodyText"/>
              <w:cnfStyle w:val="000000000000" w:firstRow="0" w:lastRow="0" w:firstColumn="0" w:lastColumn="0" w:oddVBand="0" w:evenVBand="0" w:oddHBand="0" w:evenHBand="0" w:firstRowFirstColumn="0" w:firstRowLastColumn="0" w:lastRowFirstColumn="0" w:lastRowLastColumn="0"/>
            </w:pPr>
            <w:r>
              <w:t>Huawei</w:t>
            </w:r>
          </w:p>
        </w:tc>
        <w:tc>
          <w:tcPr>
            <w:tcW w:w="3621" w:type="dxa"/>
          </w:tcPr>
          <w:p w14:paraId="30926B75" w14:textId="7C883C5C" w:rsidR="00F61B27" w:rsidRPr="00BB3D48" w:rsidRDefault="00BB3D48" w:rsidP="00F61B27">
            <w:pPr>
              <w:pStyle w:val="BodyText"/>
              <w:cnfStyle w:val="000000000000" w:firstRow="0" w:lastRow="0" w:firstColumn="0" w:lastColumn="0" w:oddVBand="0" w:evenVBand="0" w:oddHBand="0" w:evenHBand="0" w:firstRowFirstColumn="0" w:firstRowLastColumn="0" w:lastRowFirstColumn="0" w:lastRowLastColumn="0"/>
            </w:pPr>
            <w:r w:rsidRPr="00BB3D48">
              <w:t>MAC CR rapporteur summary</w:t>
            </w:r>
          </w:p>
        </w:tc>
        <w:tc>
          <w:tcPr>
            <w:tcW w:w="3364" w:type="dxa"/>
          </w:tcPr>
          <w:p w14:paraId="7C31471C" w14:textId="5578B015" w:rsidR="007629B9" w:rsidRPr="00BB3D48" w:rsidRDefault="00BB3D48" w:rsidP="00824B17">
            <w:pPr>
              <w:pStyle w:val="BodyText"/>
              <w:cnfStyle w:val="000000000000" w:firstRow="0" w:lastRow="0" w:firstColumn="0" w:lastColumn="0" w:oddVBand="0" w:evenVBand="0" w:oddHBand="0" w:evenHBand="0" w:firstRowFirstColumn="0" w:firstRowLastColumn="0" w:lastRowFirstColumn="0" w:lastRowLastColumn="0"/>
            </w:pPr>
            <w:r w:rsidRPr="00BB3D48">
              <w:t xml:space="preserve">To be handled in the MAC </w:t>
            </w:r>
            <w:r>
              <w:t>summary</w:t>
            </w:r>
          </w:p>
        </w:tc>
      </w:tr>
      <w:tr w:rsidR="00C7709E" w14:paraId="24EC4B34"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70508D19" w14:textId="4F5E30D1" w:rsidR="00C7709E" w:rsidRPr="00C7709E" w:rsidRDefault="00ED71FE" w:rsidP="00824B17">
            <w:pPr>
              <w:pStyle w:val="BodyText"/>
            </w:pPr>
            <w:hyperlink r:id="rId21" w:history="1">
              <w:r w:rsidR="004A25F1" w:rsidRPr="001F5452">
                <w:rPr>
                  <w:rStyle w:val="Hyperlink"/>
                  <w:b w:val="0"/>
                  <w:bCs w:val="0"/>
                </w:rPr>
                <w:t>R2-2500988</w:t>
              </w:r>
            </w:hyperlink>
          </w:p>
        </w:tc>
        <w:tc>
          <w:tcPr>
            <w:tcW w:w="1239" w:type="dxa"/>
          </w:tcPr>
          <w:p w14:paraId="5D41F79C" w14:textId="57696915" w:rsidR="00C7709E" w:rsidRDefault="004B3A64" w:rsidP="00824B17">
            <w:pPr>
              <w:pStyle w:val="BodyText"/>
              <w:cnfStyle w:val="000000100000" w:firstRow="0" w:lastRow="0" w:firstColumn="0" w:lastColumn="0" w:oddVBand="0" w:evenVBand="0" w:oddHBand="1" w:evenHBand="0" w:firstRowFirstColumn="0" w:firstRowLastColumn="0" w:lastRowFirstColumn="0" w:lastRowLastColumn="0"/>
            </w:pPr>
            <w:r>
              <w:t>Ericsson</w:t>
            </w:r>
            <w:r w:rsidR="00DC6653">
              <w:t>, MTK</w:t>
            </w:r>
          </w:p>
        </w:tc>
        <w:tc>
          <w:tcPr>
            <w:tcW w:w="3621" w:type="dxa"/>
          </w:tcPr>
          <w:p w14:paraId="46C4FB5B" w14:textId="11302BE7" w:rsidR="00D35A3F" w:rsidRDefault="000C5979" w:rsidP="00824B17">
            <w:pPr>
              <w:pStyle w:val="BodyText"/>
              <w:cnfStyle w:val="000000100000" w:firstRow="0" w:lastRow="0" w:firstColumn="0" w:lastColumn="0" w:oddVBand="0" w:evenVBand="0" w:oddHBand="1" w:evenHBand="0" w:firstRowFirstColumn="0" w:firstRowLastColumn="0" w:lastRowFirstColumn="0" w:lastRowLastColumn="0"/>
            </w:pPr>
            <w:r w:rsidRPr="000C5979">
              <w:rPr>
                <w:b/>
                <w:bCs/>
              </w:rPr>
              <w:t>P1</w:t>
            </w:r>
            <w:r>
              <w:t xml:space="preserve">: </w:t>
            </w:r>
            <w:r w:rsidR="006739F9">
              <w:t xml:space="preserve">Clarify that since the UE keeps the associated PDCP and SDAP entities but releases all fields related to the SRB/DRB configuration except for </w:t>
            </w:r>
            <w:proofErr w:type="spellStart"/>
            <w:r w:rsidR="006739F9">
              <w:t>srb</w:t>
            </w:r>
            <w:proofErr w:type="spellEnd"/>
            <w:r w:rsidR="006739F9">
              <w:t>-Identity/</w:t>
            </w:r>
            <w:proofErr w:type="spellStart"/>
            <w:r w:rsidR="006739F9">
              <w:t>drb</w:t>
            </w:r>
            <w:proofErr w:type="spellEnd"/>
            <w:r w:rsidR="006739F9">
              <w:t xml:space="preserve">-Identity, the network should provide new SRB/DRB configuration (signal again all fields) for the same </w:t>
            </w:r>
            <w:proofErr w:type="spellStart"/>
            <w:r w:rsidR="006739F9">
              <w:t>srb</w:t>
            </w:r>
            <w:proofErr w:type="spellEnd"/>
            <w:r w:rsidR="006739F9">
              <w:t>-Identity/</w:t>
            </w:r>
            <w:proofErr w:type="spellStart"/>
            <w:r w:rsidR="006739F9">
              <w:t>drb</w:t>
            </w:r>
            <w:proofErr w:type="spellEnd"/>
            <w:r w:rsidR="006739F9">
              <w:t xml:space="preserve">-Identity </w:t>
            </w:r>
            <w:proofErr w:type="gramStart"/>
            <w:r w:rsidR="006739F9">
              <w:t>in order for</w:t>
            </w:r>
            <w:proofErr w:type="gramEnd"/>
            <w:r w:rsidR="006739F9">
              <w:t xml:space="preserve"> the radio bearer to remain configured after the LTM cell switch procedure. The new SRB/DRB configuration should contain the same values (in comparison to the UE configuration for the radio bearer before this procedure is executed) for those fields which cannot be modified without PDCP re-establishment according to the field descriptions and conditions of PDCP-Config and TS 38.323.</w:t>
            </w:r>
          </w:p>
        </w:tc>
        <w:tc>
          <w:tcPr>
            <w:tcW w:w="3364" w:type="dxa"/>
          </w:tcPr>
          <w:p w14:paraId="0DEBAA2D" w14:textId="6C6C3D2B" w:rsidR="005B6A77" w:rsidRPr="006739F9" w:rsidRDefault="00A66A50" w:rsidP="00D7284D">
            <w:pPr>
              <w:pStyle w:val="BodyText"/>
              <w:cnfStyle w:val="000000100000" w:firstRow="0" w:lastRow="0" w:firstColumn="0" w:lastColumn="0" w:oddVBand="0" w:evenVBand="0" w:oddHBand="1" w:evenHBand="0" w:firstRowFirstColumn="0" w:firstRowLastColumn="0" w:lastRowFirstColumn="0" w:lastRowLastColumn="0"/>
            </w:pPr>
            <w:r w:rsidRPr="009E15FB">
              <w:rPr>
                <w:b/>
                <w:bCs/>
              </w:rPr>
              <w:t>P</w:t>
            </w:r>
            <w:r>
              <w:rPr>
                <w:b/>
                <w:bCs/>
              </w:rPr>
              <w:t>1</w:t>
            </w:r>
            <w:r>
              <w:t>:</w:t>
            </w:r>
            <w:r w:rsidRPr="009E15FB">
              <w:t xml:space="preserve"> </w:t>
            </w:r>
            <w:r w:rsidR="005B6A77" w:rsidRPr="00971EC1">
              <w:rPr>
                <w:highlight w:val="green"/>
              </w:rPr>
              <w:t>To be agreed</w:t>
            </w:r>
            <w:r w:rsidR="005B6A77">
              <w:t xml:space="preserve">. </w:t>
            </w:r>
            <w:r w:rsidR="006739F9">
              <w:t>This comes basically from the agreements made in the last meeting which indicate to the network that the PDCP and SDAP entity need</w:t>
            </w:r>
            <w:r w:rsidR="0099351B">
              <w:t xml:space="preserve"> to be signalled again. When doing this, it would be good to understand how network should set certain field, according to what UE has in its current UE configuration.</w:t>
            </w:r>
          </w:p>
        </w:tc>
      </w:tr>
      <w:tr w:rsidR="003F79C1" w14:paraId="1BB7DE51"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04CED86A" w14:textId="24F6ABDF" w:rsidR="003F79C1" w:rsidRPr="004D07E8" w:rsidRDefault="00ED71FE" w:rsidP="00824B17">
            <w:pPr>
              <w:pStyle w:val="BodyText"/>
            </w:pPr>
            <w:hyperlink r:id="rId22" w:history="1">
              <w:r w:rsidR="00DC6653" w:rsidRPr="001F5452">
                <w:rPr>
                  <w:rStyle w:val="Hyperlink"/>
                  <w:b w:val="0"/>
                  <w:bCs w:val="0"/>
                </w:rPr>
                <w:t>R2-2500989</w:t>
              </w:r>
            </w:hyperlink>
          </w:p>
        </w:tc>
        <w:tc>
          <w:tcPr>
            <w:tcW w:w="1239" w:type="dxa"/>
          </w:tcPr>
          <w:p w14:paraId="0E5118A0" w14:textId="2CDCDCB2" w:rsidR="003F79C1" w:rsidRDefault="00827464" w:rsidP="00824B17">
            <w:pPr>
              <w:pStyle w:val="BodyText"/>
              <w:cnfStyle w:val="000000000000" w:firstRow="0" w:lastRow="0" w:firstColumn="0" w:lastColumn="0" w:oddVBand="0" w:evenVBand="0" w:oddHBand="0" w:evenHBand="0" w:firstRowFirstColumn="0" w:firstRowLastColumn="0" w:lastRowFirstColumn="0" w:lastRowLastColumn="0"/>
            </w:pPr>
            <w:r>
              <w:t>Ericsson</w:t>
            </w:r>
            <w:r w:rsidR="00DC6653">
              <w:t>, MTK</w:t>
            </w:r>
          </w:p>
        </w:tc>
        <w:tc>
          <w:tcPr>
            <w:tcW w:w="3621" w:type="dxa"/>
          </w:tcPr>
          <w:p w14:paraId="582A7BDA" w14:textId="5CA42C13" w:rsidR="00D602BC" w:rsidRPr="00C01924" w:rsidRDefault="00591E6E" w:rsidP="003F7872">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rsidR="003F7872">
              <w:t>Add a new field within LTM-Candidate IE to indicate the number of serving cells configured for the LTM candidate configuration</w:t>
            </w:r>
          </w:p>
        </w:tc>
        <w:tc>
          <w:tcPr>
            <w:tcW w:w="3364" w:type="dxa"/>
          </w:tcPr>
          <w:p w14:paraId="70DE5034" w14:textId="6ECD0582" w:rsidR="00591E6E" w:rsidRPr="00BA5C2E" w:rsidRDefault="00591E6E" w:rsidP="00A66A50">
            <w:pPr>
              <w:pStyle w:val="BodyText"/>
              <w:cnfStyle w:val="000000000000" w:firstRow="0" w:lastRow="0" w:firstColumn="0" w:lastColumn="0" w:oddVBand="0" w:evenVBand="0" w:oddHBand="0" w:evenHBand="0" w:firstRowFirstColumn="0" w:firstRowLastColumn="0" w:lastRowFirstColumn="0" w:lastRowLastColumn="0"/>
            </w:pPr>
            <w:r w:rsidRPr="00591E6E">
              <w:rPr>
                <w:b/>
                <w:bCs/>
              </w:rPr>
              <w:t>P1</w:t>
            </w:r>
            <w:r>
              <w:t xml:space="preserve">: </w:t>
            </w:r>
            <w:r w:rsidR="008371B3" w:rsidRPr="003F7872">
              <w:rPr>
                <w:highlight w:val="yellow"/>
              </w:rPr>
              <w:t xml:space="preserve">To be </w:t>
            </w:r>
            <w:r w:rsidR="003F7872" w:rsidRPr="003F7872">
              <w:rPr>
                <w:highlight w:val="yellow"/>
              </w:rPr>
              <w:t>discussed</w:t>
            </w:r>
            <w:r>
              <w:t xml:space="preserve">. </w:t>
            </w:r>
            <w:r w:rsidR="003F7872">
              <w:t>There are divergent opinions on this so better to discuss during the meeting.</w:t>
            </w:r>
          </w:p>
        </w:tc>
      </w:tr>
      <w:tr w:rsidR="00CF086E" w14:paraId="211F0B7E"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33F45817" w14:textId="3FD2DC3B" w:rsidR="00CF086E" w:rsidRPr="00FA7B6F" w:rsidRDefault="00ED71FE" w:rsidP="00CF086E">
            <w:pPr>
              <w:pStyle w:val="BodyText"/>
            </w:pPr>
            <w:hyperlink r:id="rId23" w:history="1">
              <w:r w:rsidR="008A2F1D" w:rsidRPr="001F5452">
                <w:rPr>
                  <w:rStyle w:val="Hyperlink"/>
                  <w:b w:val="0"/>
                  <w:bCs w:val="0"/>
                </w:rPr>
                <w:t>R2-2501196</w:t>
              </w:r>
            </w:hyperlink>
          </w:p>
        </w:tc>
        <w:tc>
          <w:tcPr>
            <w:tcW w:w="1239" w:type="dxa"/>
          </w:tcPr>
          <w:p w14:paraId="3FE43C67" w14:textId="67B1CF94" w:rsidR="00CF086E" w:rsidRDefault="00DE3AE8" w:rsidP="00CF086E">
            <w:pPr>
              <w:pStyle w:val="BodyText"/>
              <w:cnfStyle w:val="000000100000" w:firstRow="0" w:lastRow="0" w:firstColumn="0" w:lastColumn="0" w:oddVBand="0" w:evenVBand="0" w:oddHBand="1" w:evenHBand="0" w:firstRowFirstColumn="0" w:firstRowLastColumn="0" w:lastRowFirstColumn="0" w:lastRowLastColumn="0"/>
            </w:pPr>
            <w:r>
              <w:t>Sharp</w:t>
            </w:r>
          </w:p>
        </w:tc>
        <w:tc>
          <w:tcPr>
            <w:tcW w:w="3621" w:type="dxa"/>
          </w:tcPr>
          <w:p w14:paraId="31EE1149" w14:textId="3C0ABABA" w:rsidR="00CF086E" w:rsidRDefault="001C2DDC" w:rsidP="00CF086E">
            <w:pPr>
              <w:pStyle w:val="BodyText"/>
              <w:cnfStyle w:val="000000100000" w:firstRow="0" w:lastRow="0" w:firstColumn="0" w:lastColumn="0" w:oddVBand="0" w:evenVBand="0" w:oddHBand="1" w:evenHBand="0" w:firstRowFirstColumn="0" w:firstRowLastColumn="0" w:lastRowFirstColumn="0" w:lastRowLastColumn="0"/>
            </w:pPr>
            <w:r w:rsidRPr="001C2DDC">
              <w:rPr>
                <w:b/>
                <w:bCs/>
              </w:rPr>
              <w:t>P1</w:t>
            </w:r>
            <w:r>
              <w:t xml:space="preserve">: </w:t>
            </w:r>
            <w:r w:rsidR="00ED5C63">
              <w:t>Clarify that a PDCP entity of the DRB which is associated with the cell group for which the LTM cell switch procedure is triggered will perform data recovery.</w:t>
            </w:r>
          </w:p>
        </w:tc>
        <w:tc>
          <w:tcPr>
            <w:tcW w:w="3364" w:type="dxa"/>
          </w:tcPr>
          <w:p w14:paraId="12E8986B" w14:textId="27EFC731" w:rsidR="009707E9" w:rsidRDefault="009707E9" w:rsidP="009707E9">
            <w:pPr>
              <w:pStyle w:val="BodyText"/>
              <w:cnfStyle w:val="000000100000" w:firstRow="0" w:lastRow="0" w:firstColumn="0" w:lastColumn="0" w:oddVBand="0" w:evenVBand="0" w:oddHBand="1" w:evenHBand="0" w:firstRowFirstColumn="0" w:firstRowLastColumn="0" w:lastRowFirstColumn="0" w:lastRowLastColumn="0"/>
            </w:pPr>
            <w:r w:rsidRPr="00591E6E">
              <w:rPr>
                <w:b/>
                <w:bCs/>
              </w:rPr>
              <w:t>P</w:t>
            </w:r>
            <w:r>
              <w:rPr>
                <w:b/>
                <w:bCs/>
              </w:rPr>
              <w:t>1</w:t>
            </w:r>
            <w:r>
              <w:t xml:space="preserve">: </w:t>
            </w:r>
            <w:r w:rsidR="00ED5C63" w:rsidRPr="00ED5C63">
              <w:rPr>
                <w:highlight w:val="green"/>
              </w:rPr>
              <w:t>To</w:t>
            </w:r>
            <w:r w:rsidR="001B4A9B" w:rsidRPr="00ED5C63">
              <w:rPr>
                <w:highlight w:val="green"/>
              </w:rPr>
              <w:t xml:space="preserve"> be </w:t>
            </w:r>
            <w:r w:rsidR="00ED5C63" w:rsidRPr="00ED5C63">
              <w:rPr>
                <w:highlight w:val="green"/>
              </w:rPr>
              <w:t>agreed</w:t>
            </w:r>
            <w:r w:rsidR="00ED5C63">
              <w:t xml:space="preserve">. This makes sense and is also proposed by another company. </w:t>
            </w:r>
          </w:p>
          <w:p w14:paraId="1519FD81" w14:textId="1D4FA138" w:rsidR="00CF086E" w:rsidRPr="00BA5C2E" w:rsidRDefault="00CF086E" w:rsidP="00CF086E">
            <w:pPr>
              <w:pStyle w:val="BodyText"/>
              <w:cnfStyle w:val="000000100000" w:firstRow="0" w:lastRow="0" w:firstColumn="0" w:lastColumn="0" w:oddVBand="0" w:evenVBand="0" w:oddHBand="1" w:evenHBand="0" w:firstRowFirstColumn="0" w:firstRowLastColumn="0" w:lastRowFirstColumn="0" w:lastRowLastColumn="0"/>
            </w:pPr>
          </w:p>
        </w:tc>
      </w:tr>
      <w:tr w:rsidR="00CF086E" w14:paraId="7AEDE7D5" w14:textId="77777777" w:rsidTr="00B41265">
        <w:tc>
          <w:tcPr>
            <w:cnfStyle w:val="001000000000" w:firstRow="0" w:lastRow="0" w:firstColumn="1" w:lastColumn="0" w:oddVBand="0" w:evenVBand="0" w:oddHBand="0" w:evenHBand="0" w:firstRowFirstColumn="0" w:firstRowLastColumn="0" w:lastRowFirstColumn="0" w:lastRowLastColumn="0"/>
            <w:tcW w:w="1405" w:type="dxa"/>
          </w:tcPr>
          <w:p w14:paraId="36F4A734" w14:textId="655B4291" w:rsidR="00CF086E" w:rsidRPr="004D07E8" w:rsidRDefault="00ED71FE" w:rsidP="00CF086E">
            <w:pPr>
              <w:pStyle w:val="BodyText"/>
            </w:pPr>
            <w:hyperlink r:id="rId24" w:history="1">
              <w:r w:rsidR="00B659CD" w:rsidRPr="001F5452">
                <w:rPr>
                  <w:rStyle w:val="Hyperlink"/>
                  <w:b w:val="0"/>
                  <w:bCs w:val="0"/>
                </w:rPr>
                <w:t>R2-2501294</w:t>
              </w:r>
            </w:hyperlink>
          </w:p>
        </w:tc>
        <w:tc>
          <w:tcPr>
            <w:tcW w:w="1239" w:type="dxa"/>
          </w:tcPr>
          <w:p w14:paraId="62BF343B" w14:textId="104B9809" w:rsidR="00CF086E" w:rsidRDefault="00B659CD" w:rsidP="00CF086E">
            <w:pPr>
              <w:pStyle w:val="BodyText"/>
              <w:cnfStyle w:val="000000000000" w:firstRow="0" w:lastRow="0" w:firstColumn="0" w:lastColumn="0" w:oddVBand="0" w:evenVBand="0" w:oddHBand="0" w:evenHBand="0" w:firstRowFirstColumn="0" w:firstRowLastColumn="0" w:lastRowFirstColumn="0" w:lastRowLastColumn="0"/>
            </w:pPr>
            <w:r>
              <w:t>ZTE, Ericsson</w:t>
            </w:r>
          </w:p>
        </w:tc>
        <w:tc>
          <w:tcPr>
            <w:tcW w:w="3621" w:type="dxa"/>
          </w:tcPr>
          <w:p w14:paraId="5C439A11" w14:textId="01C4EA33" w:rsidR="00BD5758" w:rsidRPr="00015BF4" w:rsidRDefault="00015BF4" w:rsidP="00CF086E">
            <w:pPr>
              <w:pStyle w:val="BodyText"/>
              <w:cnfStyle w:val="000000000000" w:firstRow="0" w:lastRow="0" w:firstColumn="0" w:lastColumn="0" w:oddVBand="0" w:evenVBand="0" w:oddHBand="0" w:evenHBand="0" w:firstRowFirstColumn="0" w:firstRowLastColumn="0" w:lastRowFirstColumn="0" w:lastRowLastColumn="0"/>
            </w:pPr>
            <w:r w:rsidRPr="00015BF4">
              <w:t xml:space="preserve">This is an in-principle agreed CR in </w:t>
            </w:r>
            <w:r w:rsidRPr="00015BF4">
              <w:rPr>
                <w:noProof/>
              </w:rPr>
              <w:t>R2-2410801 which was forgotten in the last RAN2 meeting.</w:t>
            </w:r>
          </w:p>
        </w:tc>
        <w:tc>
          <w:tcPr>
            <w:tcW w:w="3364" w:type="dxa"/>
          </w:tcPr>
          <w:p w14:paraId="287A67D4" w14:textId="0F998032" w:rsidR="00CF086E" w:rsidRPr="009E15FB" w:rsidRDefault="00015BF4" w:rsidP="00CF086E">
            <w:pPr>
              <w:pStyle w:val="BodyText"/>
              <w:cnfStyle w:val="000000000000" w:firstRow="0" w:lastRow="0" w:firstColumn="0" w:lastColumn="0" w:oddVBand="0" w:evenVBand="0" w:oddHBand="0" w:evenHBand="0" w:firstRowFirstColumn="0" w:firstRowLastColumn="0" w:lastRowFirstColumn="0" w:lastRowLastColumn="0"/>
              <w:rPr>
                <w:b/>
                <w:bCs/>
              </w:rPr>
            </w:pPr>
            <w:r w:rsidRPr="00ED5C63">
              <w:rPr>
                <w:highlight w:val="green"/>
              </w:rPr>
              <w:t>To be agreed</w:t>
            </w:r>
            <w:r>
              <w:t xml:space="preserve">. </w:t>
            </w:r>
          </w:p>
        </w:tc>
      </w:tr>
      <w:tr w:rsidR="00CF086E" w14:paraId="060F8CC7" w14:textId="77777777" w:rsidTr="00B412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5" w:type="dxa"/>
          </w:tcPr>
          <w:p w14:paraId="6377413A" w14:textId="1B75391E" w:rsidR="00CF086E" w:rsidRPr="004D07E8" w:rsidRDefault="00ED71FE" w:rsidP="00CF086E">
            <w:pPr>
              <w:pStyle w:val="BodyText"/>
            </w:pPr>
            <w:hyperlink r:id="rId25" w:history="1">
              <w:r w:rsidR="00BF78BC" w:rsidRPr="001F5452">
                <w:rPr>
                  <w:rStyle w:val="Hyperlink"/>
                  <w:b w:val="0"/>
                  <w:bCs w:val="0"/>
                </w:rPr>
                <w:t>R2-2501295</w:t>
              </w:r>
            </w:hyperlink>
          </w:p>
        </w:tc>
        <w:tc>
          <w:tcPr>
            <w:tcW w:w="1239" w:type="dxa"/>
          </w:tcPr>
          <w:p w14:paraId="710E2882" w14:textId="27275AA4" w:rsidR="00CF086E" w:rsidRDefault="00BF78BC" w:rsidP="00CF086E">
            <w:pPr>
              <w:pStyle w:val="BodyText"/>
              <w:cnfStyle w:val="000000100000" w:firstRow="0" w:lastRow="0" w:firstColumn="0" w:lastColumn="0" w:oddVBand="0" w:evenVBand="0" w:oddHBand="1" w:evenHBand="0" w:firstRowFirstColumn="0" w:firstRowLastColumn="0" w:lastRowFirstColumn="0" w:lastRowLastColumn="0"/>
            </w:pPr>
            <w:r>
              <w:t>ZTE</w:t>
            </w:r>
          </w:p>
        </w:tc>
        <w:tc>
          <w:tcPr>
            <w:tcW w:w="3621" w:type="dxa"/>
          </w:tcPr>
          <w:p w14:paraId="7E7DF4CE" w14:textId="77777777" w:rsidR="00CF086E" w:rsidRDefault="001A6E9B" w:rsidP="00CF086E">
            <w:pPr>
              <w:pStyle w:val="BodyText"/>
              <w:cnfStyle w:val="000000100000" w:firstRow="0" w:lastRow="0" w:firstColumn="0" w:lastColumn="0" w:oddVBand="0" w:evenVBand="0" w:oddHBand="1" w:evenHBand="0" w:firstRowFirstColumn="0" w:firstRowLastColumn="0" w:lastRowFirstColumn="0" w:lastRowLastColumn="0"/>
            </w:pPr>
            <w:r>
              <w:rPr>
                <w:b/>
                <w:bCs/>
              </w:rPr>
              <w:t xml:space="preserve">P1: </w:t>
            </w:r>
            <w:r w:rsidR="008C1176" w:rsidRPr="008C1176">
              <w:t xml:space="preserve">Clarify in the field description of </w:t>
            </w:r>
            <w:proofErr w:type="spellStart"/>
            <w:r w:rsidR="008C1176" w:rsidRPr="008C1176">
              <w:t>selectedCondRRCReconfig</w:t>
            </w:r>
            <w:proofErr w:type="spellEnd"/>
            <w:r w:rsidR="008C1176" w:rsidRPr="008C1176">
              <w:t xml:space="preserve"> that </w:t>
            </w:r>
            <w:proofErr w:type="spellStart"/>
            <w:r w:rsidR="008C1176" w:rsidRPr="008C1176">
              <w:t>selectedCondRRCReconfig</w:t>
            </w:r>
            <w:proofErr w:type="spellEnd"/>
            <w:r w:rsidR="008C1176" w:rsidRPr="008C1176">
              <w:t xml:space="preserve"> can be used upon the execution of </w:t>
            </w:r>
            <w:proofErr w:type="spellStart"/>
            <w:r w:rsidR="008C1176" w:rsidRPr="008C1176">
              <w:t>subseq</w:t>
            </w:r>
            <w:proofErr w:type="spellEnd"/>
            <w:r w:rsidR="008C1176" w:rsidRPr="008C1176">
              <w:t xml:space="preserve"> </w:t>
            </w:r>
            <w:proofErr w:type="spellStart"/>
            <w:r w:rsidR="008C1176" w:rsidRPr="008C1176">
              <w:t>uent</w:t>
            </w:r>
            <w:proofErr w:type="spellEnd"/>
            <w:r w:rsidR="008C1176" w:rsidRPr="008C1176">
              <w:t xml:space="preserve"> CPAC</w:t>
            </w:r>
          </w:p>
          <w:p w14:paraId="4734E648" w14:textId="3C730C1D" w:rsidR="008C1176" w:rsidRPr="001A6E9B" w:rsidRDefault="008C1176" w:rsidP="00CF086E">
            <w:pPr>
              <w:pStyle w:val="BodyText"/>
              <w:cnfStyle w:val="000000100000" w:firstRow="0" w:lastRow="0" w:firstColumn="0" w:lastColumn="0" w:oddVBand="0" w:evenVBand="0" w:oddHBand="1" w:evenHBand="0" w:firstRowFirstColumn="0" w:firstRowLastColumn="0" w:lastRowFirstColumn="0" w:lastRowLastColumn="0"/>
            </w:pPr>
            <w:r w:rsidRPr="008C1176">
              <w:rPr>
                <w:b/>
                <w:bCs/>
              </w:rPr>
              <w:t>P2</w:t>
            </w:r>
            <w:r>
              <w:t xml:space="preserve">: </w:t>
            </w:r>
            <w:r w:rsidR="004520E9" w:rsidRPr="004520E9">
              <w:t>Clarify in the field description of reportSlotConfig-r18 that UE shall ignore the offset provided by the reportSlotConfig-r18 in the semiPersistentOnPUSCH-r18</w:t>
            </w:r>
          </w:p>
        </w:tc>
        <w:tc>
          <w:tcPr>
            <w:tcW w:w="3364" w:type="dxa"/>
          </w:tcPr>
          <w:p w14:paraId="066BD0F2" w14:textId="77777777" w:rsidR="00CF086E" w:rsidRDefault="001B4A9B" w:rsidP="00CF086E">
            <w:pPr>
              <w:pStyle w:val="BodyText"/>
              <w:cnfStyle w:val="000000100000" w:firstRow="0" w:lastRow="0" w:firstColumn="0" w:lastColumn="0" w:oddVBand="0" w:evenVBand="0" w:oddHBand="1" w:evenHBand="0" w:firstRowFirstColumn="0" w:firstRowLastColumn="0" w:lastRowFirstColumn="0" w:lastRowLastColumn="0"/>
            </w:pPr>
            <w:r w:rsidRPr="00B37060">
              <w:rPr>
                <w:b/>
                <w:bCs/>
              </w:rPr>
              <w:t>P1</w:t>
            </w:r>
            <w:r>
              <w:rPr>
                <w:b/>
                <w:bCs/>
              </w:rPr>
              <w:t xml:space="preserve">. </w:t>
            </w:r>
            <w:r w:rsidR="003A3101" w:rsidRPr="00ED5C63">
              <w:rPr>
                <w:highlight w:val="green"/>
              </w:rPr>
              <w:t>To be agreed</w:t>
            </w:r>
            <w:r w:rsidR="003A3101">
              <w:t>. Even if current text may already cover subsequent CPAC</w:t>
            </w:r>
          </w:p>
          <w:p w14:paraId="537336F1" w14:textId="69D1BB76" w:rsidR="003A3101" w:rsidRPr="009E15FB" w:rsidRDefault="003A3101" w:rsidP="00CF086E">
            <w:pPr>
              <w:pStyle w:val="BodyText"/>
              <w:cnfStyle w:val="000000100000" w:firstRow="0" w:lastRow="0" w:firstColumn="0" w:lastColumn="0" w:oddVBand="0" w:evenVBand="0" w:oddHBand="1" w:evenHBand="0" w:firstRowFirstColumn="0" w:firstRowLastColumn="0" w:lastRowFirstColumn="0" w:lastRowLastColumn="0"/>
              <w:rPr>
                <w:b/>
                <w:bCs/>
              </w:rPr>
            </w:pPr>
            <w:r>
              <w:rPr>
                <w:b/>
                <w:bCs/>
              </w:rPr>
              <w:t xml:space="preserve">P2: </w:t>
            </w:r>
            <w:r w:rsidR="00685661" w:rsidRPr="002837D6">
              <w:rPr>
                <w:highlight w:val="red"/>
              </w:rPr>
              <w:t>Not pursued</w:t>
            </w:r>
            <w:r w:rsidR="00685661">
              <w:t>. We understand current spec is correct. Otherwise, this should be checked with RAN1.</w:t>
            </w:r>
          </w:p>
        </w:tc>
      </w:tr>
    </w:tbl>
    <w:p w14:paraId="071757D4" w14:textId="77777777" w:rsidR="00C14350" w:rsidRDefault="00C14350" w:rsidP="00824B17">
      <w:pPr>
        <w:pStyle w:val="BodyText"/>
      </w:pPr>
    </w:p>
    <w:p w14:paraId="05581605" w14:textId="5DF25C6D" w:rsidR="008F044F" w:rsidRDefault="008F044F" w:rsidP="00824B17">
      <w:pPr>
        <w:pStyle w:val="BodyText"/>
      </w:pPr>
      <w:r>
        <w:t>According to what is discussed above, the following proposals are made.</w:t>
      </w:r>
    </w:p>
    <w:p w14:paraId="203DF9F9" w14:textId="12F9E445" w:rsidR="008F044F" w:rsidRDefault="00E26441" w:rsidP="00824B17">
      <w:pPr>
        <w:pStyle w:val="BodyText"/>
      </w:pPr>
      <w:r>
        <w:t>The following proposals are suggested</w:t>
      </w:r>
      <w:r w:rsidR="008F044F">
        <w:t xml:space="preserve"> </w:t>
      </w:r>
      <w:r w:rsidR="008F044F" w:rsidRPr="00CC284E">
        <w:rPr>
          <w:highlight w:val="green"/>
        </w:rPr>
        <w:t>to be agreed</w:t>
      </w:r>
      <w:r w:rsidR="008F044F">
        <w:t>:</w:t>
      </w:r>
    </w:p>
    <w:p w14:paraId="403FB2ED" w14:textId="77777777" w:rsidR="00685661" w:rsidRDefault="00685661" w:rsidP="00685661">
      <w:pPr>
        <w:pStyle w:val="Proposal"/>
        <w:rPr>
          <w:rFonts w:cs="Arial"/>
        </w:rPr>
      </w:pPr>
      <w:bookmarkStart w:id="1" w:name="_Toc190101207"/>
      <w:r>
        <w:t xml:space="preserve">The network always signals fields </w:t>
      </w:r>
      <w:proofErr w:type="spellStart"/>
      <w:r w:rsidRPr="007141E8">
        <w:t>frequencyBandList</w:t>
      </w:r>
      <w:proofErr w:type="spellEnd"/>
      <w:r>
        <w:t xml:space="preserve"> and </w:t>
      </w:r>
      <w:proofErr w:type="spellStart"/>
      <w:r>
        <w:t>absoluteFrequencyPointA</w:t>
      </w:r>
      <w:proofErr w:type="spellEnd"/>
      <w:r w:rsidRPr="007141E8">
        <w:rPr>
          <w:rFonts w:cs="Arial"/>
        </w:rPr>
        <w:t xml:space="preserve"> </w:t>
      </w:r>
      <w:r>
        <w:rPr>
          <w:rFonts w:cs="Arial"/>
        </w:rPr>
        <w:t xml:space="preserve">when </w:t>
      </w:r>
      <w:proofErr w:type="spellStart"/>
      <w:r>
        <w:rPr>
          <w:rFonts w:cs="Arial"/>
        </w:rPr>
        <w:t>FrequencyInfoUL</w:t>
      </w:r>
      <w:proofErr w:type="spellEnd"/>
      <w:r>
        <w:rPr>
          <w:rFonts w:cs="Arial"/>
        </w:rPr>
        <w:t xml:space="preserve"> IE is used within </w:t>
      </w:r>
      <w:proofErr w:type="spellStart"/>
      <w:r>
        <w:rPr>
          <w:rFonts w:cs="Arial"/>
        </w:rPr>
        <w:t>EarlyUL-SyncConfig</w:t>
      </w:r>
      <w:proofErr w:type="spellEnd"/>
      <w:r>
        <w:rPr>
          <w:rFonts w:cs="Arial"/>
        </w:rPr>
        <w:t xml:space="preserve"> IE</w:t>
      </w:r>
      <w:bookmarkEnd w:id="1"/>
    </w:p>
    <w:p w14:paraId="66BFF67A" w14:textId="77777777" w:rsidR="00685661" w:rsidRDefault="00685661" w:rsidP="00685661">
      <w:pPr>
        <w:pStyle w:val="Proposal"/>
      </w:pPr>
      <w:bookmarkStart w:id="2" w:name="_Toc190101208"/>
      <w:r w:rsidRPr="00E1309A">
        <w:t xml:space="preserve">The UE maintains fields </w:t>
      </w:r>
      <w:proofErr w:type="spellStart"/>
      <w:r w:rsidRPr="00E1309A">
        <w:t>subCarrierSpacing</w:t>
      </w:r>
      <w:proofErr w:type="spellEnd"/>
      <w:r w:rsidRPr="00E1309A">
        <w:t xml:space="preserve">, </w:t>
      </w:r>
      <w:proofErr w:type="spellStart"/>
      <w:r w:rsidRPr="00E1309A">
        <w:t>absoluteFrequencyPointA</w:t>
      </w:r>
      <w:proofErr w:type="spellEnd"/>
      <w:r w:rsidRPr="00E1309A">
        <w:t xml:space="preserve">, and </w:t>
      </w:r>
      <w:proofErr w:type="spellStart"/>
      <w:r w:rsidRPr="00E1309A">
        <w:t>cyclicPrefix</w:t>
      </w:r>
      <w:proofErr w:type="spellEnd"/>
      <w:r w:rsidRPr="00E1309A">
        <w:t xml:space="preserve"> in case the fields are absent in NZP-CSI-RS-Resource IE used within LTM-Candidate IE</w:t>
      </w:r>
      <w:r>
        <w:t>.</w:t>
      </w:r>
      <w:bookmarkEnd w:id="2"/>
    </w:p>
    <w:p w14:paraId="6D5F91FD" w14:textId="77777777" w:rsidR="00685661" w:rsidRDefault="00685661" w:rsidP="00685661">
      <w:pPr>
        <w:pStyle w:val="Proposal"/>
      </w:pPr>
      <w:bookmarkStart w:id="3" w:name="_Toc190101209"/>
      <w:r w:rsidRPr="00D771C6">
        <w:t xml:space="preserve">Within LTM Cell Switch Command MAC CE, the indicated joint TCI state in the TCI state ID field is the same or QCL to the SSB indicated in the SS/PBCH index field of the contention-free </w:t>
      </w:r>
      <w:proofErr w:type="gramStart"/>
      <w:r w:rsidRPr="00D771C6">
        <w:t>Random Access</w:t>
      </w:r>
      <w:proofErr w:type="gramEnd"/>
      <w:r w:rsidRPr="00D771C6">
        <w:t xml:space="preserve"> Resources.</w:t>
      </w:r>
      <w:bookmarkEnd w:id="3"/>
    </w:p>
    <w:p w14:paraId="067097CA" w14:textId="77777777" w:rsidR="00685661" w:rsidRDefault="00685661" w:rsidP="00685661">
      <w:pPr>
        <w:pStyle w:val="Proposal"/>
      </w:pPr>
      <w:bookmarkStart w:id="4" w:name="_Toc190101210"/>
      <w:r>
        <w:t>Clarify that PDCP recovery is only done for DRB which RLC entity has been re-established.</w:t>
      </w:r>
      <w:bookmarkEnd w:id="4"/>
    </w:p>
    <w:p w14:paraId="287BE40B" w14:textId="77777777" w:rsidR="00685661" w:rsidRDefault="00685661" w:rsidP="00685661">
      <w:pPr>
        <w:pStyle w:val="Proposal"/>
      </w:pPr>
      <w:bookmarkStart w:id="5" w:name="_Toc190101211"/>
      <w:r w:rsidRPr="00AD0222">
        <w:t>RAN2 adopts the changes</w:t>
      </w:r>
      <w:r>
        <w:t xml:space="preserve"> suggested by the RAN4 LS about the FG 39-6 prerequisites pre-requisites.</w:t>
      </w:r>
      <w:bookmarkEnd w:id="5"/>
    </w:p>
    <w:p w14:paraId="33E854A9" w14:textId="77777777" w:rsidR="00685661" w:rsidRDefault="00685661" w:rsidP="00685661">
      <w:pPr>
        <w:pStyle w:val="Proposal"/>
      </w:pPr>
      <w:bookmarkStart w:id="6" w:name="_Toc190101212"/>
      <w:r w:rsidRPr="00AA7785">
        <w:t>Removal of prerequisite of ltm-FastProcessingConfig-r18</w:t>
      </w:r>
      <w:r>
        <w:t xml:space="preserve"> according to the received RAN4 LS.</w:t>
      </w:r>
      <w:bookmarkEnd w:id="6"/>
    </w:p>
    <w:p w14:paraId="7304A8FD" w14:textId="77777777" w:rsidR="00685661" w:rsidRDefault="00685661" w:rsidP="00685661">
      <w:pPr>
        <w:pStyle w:val="Proposal"/>
      </w:pPr>
      <w:bookmarkStart w:id="7" w:name="_Toc190101213"/>
      <w:r>
        <w:t xml:space="preserve">For ssb-Periodicity-r18, change to Need S and use a new IE SSB-Periodicity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bookmarkEnd w:id="7"/>
    </w:p>
    <w:p w14:paraId="14D3EAB3" w14:textId="77777777" w:rsidR="00685661" w:rsidRDefault="00685661" w:rsidP="00685661">
      <w:pPr>
        <w:pStyle w:val="Proposal"/>
      </w:pPr>
      <w:bookmarkStart w:id="8" w:name="_Toc190101214"/>
      <w:r>
        <w:t>For ssb-PositionsInBurst-r18, capture that it is always present and use a new IE SSB-</w:t>
      </w:r>
      <w:proofErr w:type="spellStart"/>
      <w:r>
        <w:t>PositionsInBurst</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bookmarkEnd w:id="8"/>
    </w:p>
    <w:p w14:paraId="20DF8103" w14:textId="77777777" w:rsidR="00685661" w:rsidRDefault="00685661" w:rsidP="00685661">
      <w:pPr>
        <w:pStyle w:val="Proposal"/>
      </w:pPr>
      <w:bookmarkStart w:id="9" w:name="_Toc190101215"/>
      <w:r>
        <w:t>For ss-PBCH-BlockPower-r18, capture that it is always present and use a new IE SS-PBCH-</w:t>
      </w:r>
      <w:proofErr w:type="spellStart"/>
      <w:r>
        <w:t>BlockPower</w:t>
      </w:r>
      <w:proofErr w:type="spellEnd"/>
      <w:r>
        <w:t xml:space="preserve"> with the description currently in </w:t>
      </w:r>
      <w:proofErr w:type="spellStart"/>
      <w:r>
        <w:t>ServingCellConfigCommon</w:t>
      </w:r>
      <w:proofErr w:type="spellEnd"/>
      <w:r>
        <w:t xml:space="preserve"> (and use this IE in </w:t>
      </w:r>
      <w:proofErr w:type="spellStart"/>
      <w:r>
        <w:t>ServingCellConfigCommon</w:t>
      </w:r>
      <w:proofErr w:type="spellEnd"/>
      <w:r>
        <w:t xml:space="preserve"> too).</w:t>
      </w:r>
      <w:bookmarkEnd w:id="9"/>
    </w:p>
    <w:p w14:paraId="39651B78" w14:textId="77777777" w:rsidR="00685661" w:rsidRDefault="00685661" w:rsidP="00685661">
      <w:pPr>
        <w:pStyle w:val="Proposal"/>
      </w:pPr>
      <w:bookmarkStart w:id="10" w:name="_Toc190101216"/>
      <w:r w:rsidRPr="00F31BE1">
        <w:t xml:space="preserve">Capture that the </w:t>
      </w:r>
      <w:proofErr w:type="spellStart"/>
      <w:r w:rsidRPr="00F31BE1">
        <w:t>unifiedTCI-StateType</w:t>
      </w:r>
      <w:proofErr w:type="spellEnd"/>
      <w:r w:rsidRPr="00F31BE1">
        <w:t xml:space="preserve"> in LTM-TCI-Info should be the same </w:t>
      </w:r>
      <w:proofErr w:type="gramStart"/>
      <w:r w:rsidRPr="00F31BE1">
        <w:t>like</w:t>
      </w:r>
      <w:proofErr w:type="gramEnd"/>
      <w:r w:rsidRPr="00F31BE1">
        <w:t xml:space="preserve"> the </w:t>
      </w:r>
      <w:proofErr w:type="spellStart"/>
      <w:r w:rsidRPr="00F31BE1">
        <w:t>unifiedTCI-StateType</w:t>
      </w:r>
      <w:proofErr w:type="spellEnd"/>
      <w:r w:rsidRPr="00F31BE1">
        <w:t xml:space="preserve"> in the candidate cell configuration (</w:t>
      </w:r>
      <w:proofErr w:type="spellStart"/>
      <w:r w:rsidRPr="00F31BE1">
        <w:t>ltm-CandidateConfig</w:t>
      </w:r>
      <w:proofErr w:type="spellEnd"/>
      <w:r w:rsidRPr="00F31BE1">
        <w:t>), as already agreed in RAN2#126.</w:t>
      </w:r>
      <w:bookmarkEnd w:id="10"/>
    </w:p>
    <w:p w14:paraId="76DB9A17" w14:textId="77777777" w:rsidR="00685661" w:rsidRDefault="00685661" w:rsidP="00685661">
      <w:pPr>
        <w:pStyle w:val="Proposal"/>
      </w:pPr>
      <w:bookmarkStart w:id="11" w:name="_Toc190101217"/>
      <w:r>
        <w:t xml:space="preserve">Clarify that since the UE keeps the associated PDCP and SDAP entities but releases all fields related to the SRB/DRB configuration except for </w:t>
      </w:r>
      <w:proofErr w:type="spellStart"/>
      <w:r>
        <w:t>srb</w:t>
      </w:r>
      <w:proofErr w:type="spellEnd"/>
      <w:r>
        <w:t>-Identity/</w:t>
      </w:r>
      <w:proofErr w:type="spellStart"/>
      <w:r>
        <w:t>drb</w:t>
      </w:r>
      <w:proofErr w:type="spellEnd"/>
      <w:r>
        <w:t xml:space="preserve">-Identity, the network should provide new SRB/DRB configuration (signal again all fields) for the same </w:t>
      </w:r>
      <w:proofErr w:type="spellStart"/>
      <w:r>
        <w:t>srb</w:t>
      </w:r>
      <w:proofErr w:type="spellEnd"/>
      <w:r>
        <w:t>-Identity/</w:t>
      </w:r>
      <w:proofErr w:type="spellStart"/>
      <w:r>
        <w:t>drb</w:t>
      </w:r>
      <w:proofErr w:type="spellEnd"/>
      <w:r>
        <w:t xml:space="preserve">-Identity </w:t>
      </w:r>
      <w:proofErr w:type="gramStart"/>
      <w:r>
        <w:t>in order for</w:t>
      </w:r>
      <w:proofErr w:type="gramEnd"/>
      <w:r>
        <w:t xml:space="preserve"> the radio bearer to remain configured after the LTM cell switch procedure. The new SRB/DRB configuration should contain the same values (in comparison to the UE configuration for the radio bearer before this procedure is executed) for those fields which cannot be modified without PDCP re-establishment according to the field descriptions and conditions of PDCP-Config and TS 38.323.</w:t>
      </w:r>
      <w:bookmarkEnd w:id="11"/>
    </w:p>
    <w:p w14:paraId="61B359D7" w14:textId="77777777" w:rsidR="00685661" w:rsidRDefault="00685661" w:rsidP="00685661">
      <w:pPr>
        <w:pStyle w:val="Proposal"/>
      </w:pPr>
      <w:bookmarkStart w:id="12" w:name="_Toc190101218"/>
      <w:r>
        <w:t>Clarify that a PDCP entity of the DRB which is associated with the cell group for which the LTM cell switch procedure is triggered will perform data recovery.</w:t>
      </w:r>
      <w:bookmarkEnd w:id="12"/>
    </w:p>
    <w:p w14:paraId="388A861E" w14:textId="77777777" w:rsidR="00685661" w:rsidRDefault="00685661" w:rsidP="00685661">
      <w:pPr>
        <w:pStyle w:val="Proposal"/>
      </w:pPr>
      <w:bookmarkStart w:id="13" w:name="_Toc190101219"/>
      <w:r w:rsidRPr="008C1176">
        <w:t xml:space="preserve">Clarify in the field description of </w:t>
      </w:r>
      <w:proofErr w:type="spellStart"/>
      <w:r w:rsidRPr="008C1176">
        <w:t>selectedCondRRCReconfig</w:t>
      </w:r>
      <w:proofErr w:type="spellEnd"/>
      <w:r w:rsidRPr="008C1176">
        <w:t xml:space="preserve"> that </w:t>
      </w:r>
      <w:proofErr w:type="spellStart"/>
      <w:r w:rsidRPr="008C1176">
        <w:t>selectedCondRRCReconfig</w:t>
      </w:r>
      <w:proofErr w:type="spellEnd"/>
      <w:r w:rsidRPr="008C1176">
        <w:t xml:space="preserve"> can be used upon the execution of </w:t>
      </w:r>
      <w:proofErr w:type="spellStart"/>
      <w:r w:rsidRPr="008C1176">
        <w:t>subseq</w:t>
      </w:r>
      <w:proofErr w:type="spellEnd"/>
      <w:r w:rsidRPr="008C1176">
        <w:t xml:space="preserve"> </w:t>
      </w:r>
      <w:proofErr w:type="spellStart"/>
      <w:r w:rsidRPr="008C1176">
        <w:t>uent</w:t>
      </w:r>
      <w:proofErr w:type="spellEnd"/>
      <w:r w:rsidRPr="008C1176">
        <w:t xml:space="preserve"> CPAC</w:t>
      </w:r>
      <w:bookmarkEnd w:id="13"/>
    </w:p>
    <w:p w14:paraId="7F19554A" w14:textId="0E2A8578" w:rsidR="00E26441" w:rsidRDefault="00E26441" w:rsidP="00E26441">
      <w:pPr>
        <w:pStyle w:val="BodyText"/>
      </w:pPr>
      <w:r>
        <w:t xml:space="preserve">The following proposals are suggested </w:t>
      </w:r>
      <w:r w:rsidRPr="00E26441">
        <w:rPr>
          <w:highlight w:val="yellow"/>
        </w:rPr>
        <w:t>to be discussed ONLINE</w:t>
      </w:r>
      <w:r>
        <w:t>:</w:t>
      </w:r>
    </w:p>
    <w:p w14:paraId="6DE2CCD0" w14:textId="77777777" w:rsidR="00685661" w:rsidRDefault="00685661" w:rsidP="00872CF3">
      <w:pPr>
        <w:pStyle w:val="Proposal"/>
      </w:pPr>
      <w:bookmarkStart w:id="14" w:name="_Toc190101220"/>
      <w:r w:rsidRPr="00753D62">
        <w:t xml:space="preserve">For UE capability </w:t>
      </w:r>
      <w:r w:rsidRPr="00753D62">
        <w:rPr>
          <w:i/>
          <w:iCs/>
        </w:rPr>
        <w:t>pdcch-RACH-AffectedBandsList-r18</w:t>
      </w:r>
      <w:r w:rsidRPr="00753D62">
        <w:t>, RAN2 to discuss the issue of UE reporting this UE capability for bands for which the UE does not support PDCCH-ordered RACH for LTM</w:t>
      </w:r>
      <w:r>
        <w:t xml:space="preserve"> (Two options are listed)</w:t>
      </w:r>
      <w:r w:rsidRPr="00753D62">
        <w:t>.</w:t>
      </w:r>
      <w:bookmarkEnd w:id="14"/>
    </w:p>
    <w:p w14:paraId="30D840B9" w14:textId="77777777" w:rsidR="00685661" w:rsidRDefault="00685661" w:rsidP="00872CF3">
      <w:pPr>
        <w:pStyle w:val="Proposal"/>
      </w:pPr>
      <w:bookmarkStart w:id="15" w:name="_Toc190101221"/>
      <w:r w:rsidRPr="00421FBF">
        <w:t>U</w:t>
      </w:r>
      <w:r w:rsidRPr="00421FBF">
        <w:rPr>
          <w:rFonts w:cs="Arial"/>
          <w:color w:val="000000" w:themeColor="text1"/>
        </w:rPr>
        <w:t xml:space="preserve">pon successful completion of cell switch, UE releases configured contention-free </w:t>
      </w:r>
      <w:proofErr w:type="gramStart"/>
      <w:r w:rsidRPr="00421FBF">
        <w:rPr>
          <w:rFonts w:cs="Arial"/>
          <w:color w:val="000000" w:themeColor="text1"/>
        </w:rPr>
        <w:t>Random Access</w:t>
      </w:r>
      <w:proofErr w:type="gramEnd"/>
      <w:r w:rsidRPr="00421FBF">
        <w:rPr>
          <w:rFonts w:cs="Arial"/>
          <w:color w:val="000000" w:themeColor="text1"/>
        </w:rPr>
        <w:t xml:space="preserve"> Resources in </w:t>
      </w:r>
      <w:proofErr w:type="spellStart"/>
      <w:r w:rsidRPr="00421FBF">
        <w:rPr>
          <w:rFonts w:cs="Arial"/>
          <w:i/>
          <w:iCs/>
          <w:color w:val="000000" w:themeColor="text1"/>
        </w:rPr>
        <w:t>rach-ConfigDedicated</w:t>
      </w:r>
      <w:proofErr w:type="spellEnd"/>
      <w:r w:rsidRPr="00421FBF">
        <w:rPr>
          <w:rFonts w:cs="Arial"/>
          <w:color w:val="000000" w:themeColor="text1"/>
        </w:rPr>
        <w:t xml:space="preserve"> if configured in the </w:t>
      </w:r>
      <w:proofErr w:type="spellStart"/>
      <w:r w:rsidRPr="00421FBF">
        <w:rPr>
          <w:rFonts w:cs="Arial"/>
          <w:i/>
          <w:iCs/>
          <w:color w:val="000000" w:themeColor="text1"/>
        </w:rPr>
        <w:t>reconfigurationWithSync</w:t>
      </w:r>
      <w:proofErr w:type="spellEnd"/>
      <w:r w:rsidRPr="00421FBF">
        <w:rPr>
          <w:rFonts w:cs="Arial"/>
          <w:i/>
          <w:iCs/>
          <w:color w:val="000000" w:themeColor="text1"/>
        </w:rPr>
        <w:t>.</w:t>
      </w:r>
      <w:bookmarkEnd w:id="15"/>
    </w:p>
    <w:p w14:paraId="7337C81B" w14:textId="77777777" w:rsidR="00685661" w:rsidRDefault="00685661" w:rsidP="00872CF3">
      <w:pPr>
        <w:pStyle w:val="Proposal"/>
      </w:pPr>
      <w:bookmarkStart w:id="16" w:name="_Toc190101222"/>
      <w:r w:rsidRPr="0011264C">
        <w:rPr>
          <w:rFonts w:eastAsiaTheme="minorEastAsia" w:cs="Arial"/>
        </w:rPr>
        <w:t xml:space="preserve">Add the procedure description about RRC layer indicates lower layer which candidate cell </w:t>
      </w:r>
      <w:r>
        <w:rPr>
          <w:rFonts w:eastAsiaTheme="minorEastAsia" w:cs="Arial" w:hint="eastAsia"/>
        </w:rPr>
        <w:t>could be performed</w:t>
      </w:r>
      <w:r w:rsidRPr="0011264C">
        <w:rPr>
          <w:rFonts w:eastAsiaTheme="minorEastAsia" w:cs="Arial"/>
        </w:rPr>
        <w:t xml:space="preserve"> UE-based TA measurement in case of L3 </w:t>
      </w:r>
      <w:proofErr w:type="spellStart"/>
      <w:r w:rsidRPr="0011264C">
        <w:rPr>
          <w:rFonts w:eastAsiaTheme="minorEastAsia" w:cs="Arial"/>
        </w:rPr>
        <w:t>SpCell</w:t>
      </w:r>
      <w:proofErr w:type="spellEnd"/>
      <w:r w:rsidRPr="0011264C">
        <w:rPr>
          <w:rFonts w:eastAsiaTheme="minorEastAsia" w:cs="Arial"/>
        </w:rPr>
        <w:t xml:space="preserve"> change execution</w:t>
      </w:r>
      <w:r>
        <w:rPr>
          <w:rFonts w:eastAsiaTheme="minorEastAsia" w:cs="Arial" w:hint="eastAsia"/>
        </w:rPr>
        <w:t xml:space="preserve"> and with </w:t>
      </w:r>
      <w:proofErr w:type="spellStart"/>
      <w:r w:rsidRPr="005B6C54">
        <w:rPr>
          <w:rFonts w:eastAsiaTheme="minorEastAsia" w:cs="Arial"/>
          <w:i/>
        </w:rPr>
        <w:t>ltm</w:t>
      </w:r>
      <w:proofErr w:type="spellEnd"/>
      <w:r w:rsidRPr="005B6C54">
        <w:rPr>
          <w:rFonts w:eastAsiaTheme="minorEastAsia" w:cs="Arial"/>
          <w:i/>
        </w:rPr>
        <w:t>-</w:t>
      </w:r>
      <w:proofErr w:type="spellStart"/>
      <w:r w:rsidRPr="005B6C54">
        <w:rPr>
          <w:rFonts w:eastAsiaTheme="minorEastAsia" w:cs="Arial"/>
          <w:i/>
        </w:rPr>
        <w:t>ServingCellUE</w:t>
      </w:r>
      <w:proofErr w:type="spellEnd"/>
      <w:r w:rsidRPr="005B6C54">
        <w:rPr>
          <w:rFonts w:eastAsiaTheme="minorEastAsia" w:cs="Arial"/>
          <w:i/>
        </w:rPr>
        <w:t>-</w:t>
      </w:r>
      <w:proofErr w:type="spellStart"/>
      <w:r w:rsidRPr="005B6C54">
        <w:rPr>
          <w:rFonts w:eastAsiaTheme="minorEastAsia" w:cs="Arial"/>
          <w:i/>
        </w:rPr>
        <w:t>MeasuredTA</w:t>
      </w:r>
      <w:proofErr w:type="spellEnd"/>
      <w:r w:rsidRPr="005B6C54">
        <w:rPr>
          <w:rFonts w:eastAsiaTheme="minorEastAsia" w:cs="Arial"/>
          <w:i/>
        </w:rPr>
        <w:t>-ID</w:t>
      </w:r>
      <w:r>
        <w:rPr>
          <w:rFonts w:eastAsiaTheme="minorEastAsia" w:cs="Arial" w:hint="eastAsia"/>
        </w:rPr>
        <w:t xml:space="preserve"> but without </w:t>
      </w:r>
      <w:proofErr w:type="spellStart"/>
      <w:r w:rsidRPr="005B6C54">
        <w:rPr>
          <w:rFonts w:eastAsiaTheme="minorEastAsia" w:cs="Arial"/>
          <w:i/>
        </w:rPr>
        <w:t>ltm-CandidateToAddModLis</w:t>
      </w:r>
      <w:r w:rsidRPr="005B6C54">
        <w:rPr>
          <w:rFonts w:eastAsiaTheme="minorEastAsia" w:cs="Arial" w:hint="eastAsia"/>
          <w:i/>
        </w:rPr>
        <w:t>t</w:t>
      </w:r>
      <w:proofErr w:type="spellEnd"/>
      <w:r>
        <w:rPr>
          <w:rFonts w:eastAsiaTheme="minorEastAsia" w:cs="Arial" w:hint="eastAsia"/>
        </w:rPr>
        <w:t xml:space="preserve"> is </w:t>
      </w:r>
      <w:r>
        <w:rPr>
          <w:rFonts w:eastAsiaTheme="minorEastAsia" w:cs="Arial"/>
        </w:rPr>
        <w:t>configured</w:t>
      </w:r>
      <w:r>
        <w:rPr>
          <w:rFonts w:eastAsiaTheme="minorEastAsia" w:cs="Arial" w:hint="eastAsia"/>
        </w:rPr>
        <w:t xml:space="preserve"> within the reconfiguration message</w:t>
      </w:r>
      <w:r w:rsidRPr="0011264C">
        <w:rPr>
          <w:rFonts w:eastAsiaTheme="minorEastAsia" w:cs="Arial"/>
        </w:rPr>
        <w:t>.</w:t>
      </w:r>
      <w:bookmarkEnd w:id="16"/>
    </w:p>
    <w:p w14:paraId="3E0497EA" w14:textId="77777777" w:rsidR="00685661" w:rsidRDefault="00685661" w:rsidP="00872CF3">
      <w:pPr>
        <w:pStyle w:val="Proposal"/>
      </w:pPr>
      <w:bookmarkStart w:id="17" w:name="_Toc190101223"/>
      <w:r w:rsidRPr="005F2302">
        <w:t xml:space="preserve">RAN2 does not consider any further the addition of an explicit information regarding the number of </w:t>
      </w:r>
      <w:proofErr w:type="spellStart"/>
      <w:r w:rsidRPr="005F2302">
        <w:t>SpCells</w:t>
      </w:r>
      <w:proofErr w:type="spellEnd"/>
      <w:r w:rsidRPr="005F2302">
        <w:t xml:space="preserve"> and SCells within the LTM candidate configuration.</w:t>
      </w:r>
      <w:bookmarkEnd w:id="17"/>
    </w:p>
    <w:p w14:paraId="5144B942" w14:textId="77777777" w:rsidR="00685661" w:rsidRDefault="00685661" w:rsidP="00872CF3">
      <w:pPr>
        <w:pStyle w:val="Proposal"/>
      </w:pPr>
      <w:bookmarkStart w:id="18" w:name="_Toc190101224"/>
      <w:r>
        <w:t>Correct the Interruption time of Figure G-2 (make it end with TLTM-IU).</w:t>
      </w:r>
      <w:bookmarkEnd w:id="18"/>
    </w:p>
    <w:p w14:paraId="5483FD3B" w14:textId="77777777" w:rsidR="00685661" w:rsidRDefault="00685661" w:rsidP="00872CF3">
      <w:pPr>
        <w:pStyle w:val="Proposal"/>
      </w:pPr>
      <w:bookmarkStart w:id="19" w:name="_Toc190101225"/>
      <w:r>
        <w:t xml:space="preserve">Replace the </w:t>
      </w:r>
      <w:proofErr w:type="spellStart"/>
      <w:r>
        <w:t>Tfirst</w:t>
      </w:r>
      <w:proofErr w:type="spellEnd"/>
      <w:r>
        <w:t>-data by TLTM-IU of Figure G-3.</w:t>
      </w:r>
      <w:bookmarkEnd w:id="19"/>
    </w:p>
    <w:p w14:paraId="66969B9F" w14:textId="77777777" w:rsidR="00685661" w:rsidRDefault="00685661" w:rsidP="00872CF3">
      <w:pPr>
        <w:pStyle w:val="Proposal"/>
      </w:pPr>
      <w:bookmarkStart w:id="20" w:name="_Toc190101226"/>
      <w:r>
        <w:t>Add ‘Mobility latency’ in Figure G-2 and G-3.</w:t>
      </w:r>
      <w:bookmarkEnd w:id="20"/>
    </w:p>
    <w:p w14:paraId="3ADCFEC6" w14:textId="77777777" w:rsidR="00685661" w:rsidRDefault="00685661" w:rsidP="00872CF3">
      <w:pPr>
        <w:pStyle w:val="Proposal"/>
      </w:pPr>
      <w:bookmarkStart w:id="21" w:name="_Toc190101227"/>
      <w:r w:rsidRPr="0079098E">
        <w:t xml:space="preserve">In the LTM cell switch execution procedure, remove the procedure text for the case when </w:t>
      </w:r>
      <w:proofErr w:type="spellStart"/>
      <w:r w:rsidRPr="0079098E">
        <w:t>ltm</w:t>
      </w:r>
      <w:proofErr w:type="spellEnd"/>
      <w:r w:rsidRPr="0079098E">
        <w:t>-UE-</w:t>
      </w:r>
      <w:proofErr w:type="spellStart"/>
      <w:r w:rsidRPr="0079098E">
        <w:t>MeasuredTA</w:t>
      </w:r>
      <w:proofErr w:type="spellEnd"/>
      <w:r w:rsidRPr="0079098E">
        <w:t>-ID is not configured for the LTM-Candidate to which the UE is switching.</w:t>
      </w:r>
      <w:bookmarkEnd w:id="21"/>
    </w:p>
    <w:p w14:paraId="4B26CDDE" w14:textId="77777777" w:rsidR="00685661" w:rsidRDefault="00685661" w:rsidP="00872CF3">
      <w:pPr>
        <w:pStyle w:val="Proposal"/>
      </w:pPr>
      <w:bookmarkStart w:id="22" w:name="_Toc190101228"/>
      <w:r w:rsidRPr="008E6303">
        <w:t xml:space="preserve">Replace the last action at the end of the LTM cell switch execution procedure with "release the radio bearer(s) without </w:t>
      </w:r>
      <w:proofErr w:type="spellStart"/>
      <w:r w:rsidRPr="008E6303">
        <w:t>pdcp</w:t>
      </w:r>
      <w:proofErr w:type="spellEnd"/>
      <w:r w:rsidRPr="008E6303">
        <w:t xml:space="preserve">-Config and the logical channel(s) without </w:t>
      </w:r>
      <w:proofErr w:type="spellStart"/>
      <w:r w:rsidRPr="008E6303">
        <w:t>servedRadioBearer</w:t>
      </w:r>
      <w:proofErr w:type="spellEnd"/>
      <w:r w:rsidRPr="008E6303">
        <w:t>".</w:t>
      </w:r>
      <w:bookmarkEnd w:id="22"/>
    </w:p>
    <w:p w14:paraId="2AB4929E" w14:textId="77777777" w:rsidR="00685661" w:rsidRDefault="00685661" w:rsidP="00872CF3">
      <w:pPr>
        <w:pStyle w:val="Proposal"/>
      </w:pPr>
      <w:bookmarkStart w:id="23" w:name="_Toc190101229"/>
      <w:r w:rsidRPr="000E56C3">
        <w:t xml:space="preserve">Capture that cg-LTM-Configuration is optionally present in the default uplink BWP of the </w:t>
      </w:r>
      <w:proofErr w:type="spellStart"/>
      <w:r w:rsidRPr="000E56C3">
        <w:t>SpCell</w:t>
      </w:r>
      <w:proofErr w:type="spellEnd"/>
      <w:r w:rsidRPr="000E56C3">
        <w:t xml:space="preserve"> in the </w:t>
      </w:r>
      <w:proofErr w:type="spellStart"/>
      <w:r w:rsidRPr="000E56C3">
        <w:t>RRCReconfiguration</w:t>
      </w:r>
      <w:proofErr w:type="spellEnd"/>
      <w:r w:rsidRPr="000E56C3">
        <w:t xml:space="preserve"> message contained in </w:t>
      </w:r>
      <w:proofErr w:type="spellStart"/>
      <w:r w:rsidRPr="000E56C3">
        <w:t>ltm-</w:t>
      </w:r>
      <w:proofErr w:type="gramStart"/>
      <w:r w:rsidRPr="000E56C3">
        <w:t>CandidateConfig</w:t>
      </w:r>
      <w:proofErr w:type="spellEnd"/>
      <w:r w:rsidRPr="000E56C3">
        <w:t>, and</w:t>
      </w:r>
      <w:proofErr w:type="gramEnd"/>
      <w:r w:rsidRPr="000E56C3">
        <w:t xml:space="preserve"> cannot be included in more than one </w:t>
      </w:r>
      <w:proofErr w:type="spellStart"/>
      <w:r w:rsidRPr="000E56C3">
        <w:t>ConfiguredGrantConfig</w:t>
      </w:r>
      <w:proofErr w:type="spellEnd"/>
      <w:r w:rsidRPr="000E56C3">
        <w:t xml:space="preserve"> in that uplink BWP.</w:t>
      </w:r>
      <w:bookmarkEnd w:id="23"/>
    </w:p>
    <w:p w14:paraId="6C69907C" w14:textId="77777777" w:rsidR="00685661" w:rsidRDefault="00685661" w:rsidP="00872CF3">
      <w:pPr>
        <w:pStyle w:val="Proposal"/>
      </w:pPr>
      <w:bookmarkStart w:id="24" w:name="_Toc190101230"/>
      <w:r>
        <w:t>Add a new field within LTM-Candidate IE to indicate the number of serving cells configured for the LTM candidate configuration</w:t>
      </w:r>
      <w:bookmarkEnd w:id="24"/>
    </w:p>
    <w:p w14:paraId="38453E9D" w14:textId="172321C3" w:rsidR="00DE59CB" w:rsidRPr="00DE59CB" w:rsidRDefault="00DE59CB" w:rsidP="00DE59CB">
      <w:pPr>
        <w:pStyle w:val="BodyText"/>
      </w:pPr>
      <w:r>
        <w:t xml:space="preserve">The remaining proposals are suggested </w:t>
      </w:r>
      <w:r w:rsidRPr="00DE59CB">
        <w:rPr>
          <w:highlight w:val="cyan"/>
        </w:rPr>
        <w:t>to be discussed OFFLINE</w:t>
      </w:r>
      <w:r>
        <w:t>:</w:t>
      </w:r>
    </w:p>
    <w:p w14:paraId="2FBAFA4B" w14:textId="0CB68792" w:rsidR="003205BB" w:rsidRDefault="003205BB" w:rsidP="003205BB">
      <w:pPr>
        <w:pStyle w:val="Proposal"/>
      </w:pPr>
      <w:bookmarkStart w:id="25" w:name="_Toc190101231"/>
      <w:r>
        <w:t>Discuss the remaining RRC proposals</w:t>
      </w:r>
      <w:r w:rsidR="00592AE0">
        <w:t xml:space="preserve"> (</w:t>
      </w:r>
      <w:r w:rsidR="00A86402">
        <w:t xml:space="preserve">including the ones suggested to not be pursued) </w:t>
      </w:r>
      <w:r w:rsidR="006367DF">
        <w:t>offline</w:t>
      </w:r>
      <w:r w:rsidR="00872CF3">
        <w:t>.</w:t>
      </w:r>
      <w:bookmarkEnd w:id="25"/>
    </w:p>
    <w:p w14:paraId="62D777BC" w14:textId="77777777" w:rsidR="00E26441" w:rsidRPr="00E26441" w:rsidRDefault="00E26441" w:rsidP="00E26441"/>
    <w:p w14:paraId="538B5050" w14:textId="77777777" w:rsidR="00E26441" w:rsidRDefault="00E26441" w:rsidP="00E26441">
      <w:pPr>
        <w:pStyle w:val="Proposal"/>
        <w:numPr>
          <w:ilvl w:val="0"/>
          <w:numId w:val="0"/>
        </w:numPr>
        <w:ind w:left="1701" w:hanging="1701"/>
      </w:pPr>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7308A0" w14:textId="77777777" w:rsidR="00DE59CB" w:rsidRDefault="00DE59CB" w:rsidP="00DE59CB">
      <w:pPr>
        <w:pStyle w:val="BodyText"/>
      </w:pPr>
      <w:r>
        <w:t xml:space="preserve">The following proposals are suggested </w:t>
      </w:r>
      <w:r w:rsidRPr="00CC284E">
        <w:rPr>
          <w:highlight w:val="green"/>
        </w:rPr>
        <w:t>to be agreed</w:t>
      </w:r>
      <w:r>
        <w:t>:</w:t>
      </w:r>
    </w:p>
    <w:p w14:paraId="472AD8E0" w14:textId="77777777" w:rsidR="00872CF3" w:rsidRDefault="006E1C82">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0101207" w:history="1">
        <w:r w:rsidR="00872CF3" w:rsidRPr="005E39FA">
          <w:rPr>
            <w:rStyle w:val="Hyperlink"/>
            <w:rFonts w:cs="Arial"/>
            <w:noProof/>
          </w:rPr>
          <w:t>Proposal 1</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The network always signals fields frequencyBandList and absoluteFrequencyPointA</w:t>
        </w:r>
        <w:r w:rsidR="00872CF3" w:rsidRPr="005E39FA">
          <w:rPr>
            <w:rStyle w:val="Hyperlink"/>
            <w:rFonts w:cs="Arial"/>
            <w:noProof/>
          </w:rPr>
          <w:t xml:space="preserve"> when FrequencyInfoUL IE is used within EarlyUL-SyncConfig IE</w:t>
        </w:r>
      </w:hyperlink>
    </w:p>
    <w:p w14:paraId="51CEF499"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08" w:history="1">
        <w:r w:rsidR="00872CF3" w:rsidRPr="005E39FA">
          <w:rPr>
            <w:rStyle w:val="Hyperlink"/>
            <w:noProof/>
          </w:rPr>
          <w:t>Proposal 2</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The UE maintains fields subCarrierSpacing, absoluteFrequencyPointA, and cyclicPrefix in case the fields are absent in NZP-CSI-RS-Resource IE used within LTM-Candidate IE.</w:t>
        </w:r>
      </w:hyperlink>
    </w:p>
    <w:p w14:paraId="0B8A68A7"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09" w:history="1">
        <w:r w:rsidR="00872CF3" w:rsidRPr="005E39FA">
          <w:rPr>
            <w:rStyle w:val="Hyperlink"/>
            <w:noProof/>
          </w:rPr>
          <w:t>Proposal 3</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Within LTM Cell Switch Command MAC CE, the indicated joint TCI state in the TCI state ID field is the same or QCL to the SSB indicated in the SS/PBCH index field of the contention-free Random Access Resources.</w:t>
        </w:r>
      </w:hyperlink>
    </w:p>
    <w:p w14:paraId="57DD84B1"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0" w:history="1">
        <w:r w:rsidR="00872CF3" w:rsidRPr="005E39FA">
          <w:rPr>
            <w:rStyle w:val="Hyperlink"/>
            <w:noProof/>
          </w:rPr>
          <w:t>Proposal 4</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Clarify that PDCP recovery is only done for DRB which RLC entity has been re-established.</w:t>
        </w:r>
      </w:hyperlink>
    </w:p>
    <w:p w14:paraId="683852B7"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1" w:history="1">
        <w:r w:rsidR="00872CF3" w:rsidRPr="005E39FA">
          <w:rPr>
            <w:rStyle w:val="Hyperlink"/>
            <w:noProof/>
          </w:rPr>
          <w:t>Proposal 5</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RAN2 adopts the changes suggested by the RAN4 LS about the FG 39-6 prerequisites pre-requisites.</w:t>
        </w:r>
      </w:hyperlink>
    </w:p>
    <w:p w14:paraId="53CA1D35"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2" w:history="1">
        <w:r w:rsidR="00872CF3" w:rsidRPr="005E39FA">
          <w:rPr>
            <w:rStyle w:val="Hyperlink"/>
            <w:noProof/>
          </w:rPr>
          <w:t>Proposal 6</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Removal of prerequisite of ltm-FastProcessingConfig-r18 according to the received RAN4 LS.</w:t>
        </w:r>
      </w:hyperlink>
    </w:p>
    <w:p w14:paraId="0BCF5538"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3" w:history="1">
        <w:r w:rsidR="00872CF3" w:rsidRPr="005E39FA">
          <w:rPr>
            <w:rStyle w:val="Hyperlink"/>
            <w:noProof/>
          </w:rPr>
          <w:t>Proposal 7</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For ssb-Periodicity-r18, change to Need S and use a new IE SSB-Periodicity with the description currently in ServingCellConfigCommon (and use this IE in ServingCellConfigCommon too).</w:t>
        </w:r>
      </w:hyperlink>
    </w:p>
    <w:p w14:paraId="2C050C74"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4" w:history="1">
        <w:r w:rsidR="00872CF3" w:rsidRPr="005E39FA">
          <w:rPr>
            <w:rStyle w:val="Hyperlink"/>
            <w:noProof/>
          </w:rPr>
          <w:t>Proposal 8</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For ssb-PositionsInBurst-r18, capture that it is always present and use a new IE SSB-PositionsInBurst with the description currently in ServingCellConfigCommon (and use this IE in ServingCellConfigCommon too).</w:t>
        </w:r>
      </w:hyperlink>
    </w:p>
    <w:p w14:paraId="58BB8014"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5" w:history="1">
        <w:r w:rsidR="00872CF3" w:rsidRPr="005E39FA">
          <w:rPr>
            <w:rStyle w:val="Hyperlink"/>
            <w:noProof/>
          </w:rPr>
          <w:t>Proposal 9</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For ss-PBCH-BlockPower-r18, capture that it is always present and use a new IE SS-PBCH-BlockPower with the description currently in ServingCellConfigCommon (and use this IE in ServingCellConfigCommon too).</w:t>
        </w:r>
      </w:hyperlink>
    </w:p>
    <w:p w14:paraId="2C2D531D"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6" w:history="1">
        <w:r w:rsidR="00872CF3" w:rsidRPr="005E39FA">
          <w:rPr>
            <w:rStyle w:val="Hyperlink"/>
            <w:noProof/>
          </w:rPr>
          <w:t>Proposal 10</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Capture that the unifiedTCI-StateType in LTM-TCI-Info should be the same like the unifiedTCI-StateType in the candidate cell configuration (ltm-CandidateConfig), as already agreed in RAN2#126.</w:t>
        </w:r>
      </w:hyperlink>
    </w:p>
    <w:p w14:paraId="61DA3CD3"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7" w:history="1">
        <w:r w:rsidR="00872CF3" w:rsidRPr="005E39FA">
          <w:rPr>
            <w:rStyle w:val="Hyperlink"/>
            <w:noProof/>
          </w:rPr>
          <w:t>Proposal 11</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Clarify that since the UE keeps the associated PDCP and SDAP entities but releases all fields related to the SRB/DRB configuration except for srb-Identity/drb-Identity, the network should provide new SRB/DRB configuration (signal again all fields) for the same srb-Identity/drb-Identity in order for the radio bearer to remain configured after the LTM cell switch procedure. The new SRB/DRB configuration should contain the same values (in comparison to the UE configuration for the radio bearer before this procedure is executed) for those fields which cannot be modified without PDCP re-establishment according to the field descriptions and conditions of PDCP-Config and TS 38.323.</w:t>
        </w:r>
      </w:hyperlink>
    </w:p>
    <w:p w14:paraId="0C5C5AD3"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8" w:history="1">
        <w:r w:rsidR="00872CF3" w:rsidRPr="005E39FA">
          <w:rPr>
            <w:rStyle w:val="Hyperlink"/>
            <w:noProof/>
          </w:rPr>
          <w:t>Proposal 12</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Clarify that a PDCP entity of the DRB which is associated with the cell group for which the LTM cell switch procedure is triggered will perform data recovery.</w:t>
        </w:r>
      </w:hyperlink>
    </w:p>
    <w:p w14:paraId="4E1500E8" w14:textId="73EBC7D0"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19" w:history="1">
        <w:r w:rsidR="00872CF3" w:rsidRPr="005E39FA">
          <w:rPr>
            <w:rStyle w:val="Hyperlink"/>
            <w:noProof/>
          </w:rPr>
          <w:t>Proposal 13</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Clarify in the field description of selectedCondRRCReconfig that selectedCondRRCReconfig can be used upon the execution of subseq uent CPAC</w:t>
        </w:r>
      </w:hyperlink>
      <w:r w:rsidR="00872CF3">
        <w:rPr>
          <w:rStyle w:val="Hyperlink"/>
          <w:noProof/>
        </w:rPr>
        <w:br/>
      </w:r>
    </w:p>
    <w:p w14:paraId="54E7FD74" w14:textId="76CB64ED" w:rsidR="00872CF3" w:rsidRPr="00872CF3" w:rsidRDefault="00872CF3" w:rsidP="00872CF3">
      <w:pPr>
        <w:pStyle w:val="BodyText"/>
      </w:pPr>
      <w:r>
        <w:t xml:space="preserve">The following proposals are suggested </w:t>
      </w:r>
      <w:r w:rsidRPr="00E26441">
        <w:rPr>
          <w:highlight w:val="yellow"/>
        </w:rPr>
        <w:t>to be discussed ONLINE</w:t>
      </w:r>
      <w:r>
        <w:t>:</w:t>
      </w:r>
    </w:p>
    <w:p w14:paraId="16D09D39"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0" w:history="1">
        <w:r w:rsidR="00872CF3" w:rsidRPr="005E39FA">
          <w:rPr>
            <w:rStyle w:val="Hyperlink"/>
            <w:noProof/>
          </w:rPr>
          <w:t>Proposal 14</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 xml:space="preserve">For UE capability </w:t>
        </w:r>
        <w:r w:rsidR="00872CF3" w:rsidRPr="005E39FA">
          <w:rPr>
            <w:rStyle w:val="Hyperlink"/>
            <w:i/>
            <w:iCs/>
            <w:noProof/>
          </w:rPr>
          <w:t>pdcch-RACH-AffectedBandsList-r18</w:t>
        </w:r>
        <w:r w:rsidR="00872CF3" w:rsidRPr="005E39FA">
          <w:rPr>
            <w:rStyle w:val="Hyperlink"/>
            <w:noProof/>
          </w:rPr>
          <w:t>, RAN2 to discuss the issue of UE reporting this UE capability for bands for which the UE does not support PDCCH-ordered RACH for LTM (Two options are listed).</w:t>
        </w:r>
      </w:hyperlink>
    </w:p>
    <w:p w14:paraId="5C2C5E7C"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1" w:history="1">
        <w:r w:rsidR="00872CF3" w:rsidRPr="005E39FA">
          <w:rPr>
            <w:rStyle w:val="Hyperlink"/>
            <w:noProof/>
          </w:rPr>
          <w:t>Proposal 15</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U</w:t>
        </w:r>
        <w:r w:rsidR="00872CF3" w:rsidRPr="005E39FA">
          <w:rPr>
            <w:rStyle w:val="Hyperlink"/>
            <w:rFonts w:cs="Arial"/>
            <w:noProof/>
          </w:rPr>
          <w:t xml:space="preserve">pon successful completion of cell switch, UE releases configured contention-free Random Access Resources in </w:t>
        </w:r>
        <w:r w:rsidR="00872CF3" w:rsidRPr="005E39FA">
          <w:rPr>
            <w:rStyle w:val="Hyperlink"/>
            <w:rFonts w:cs="Arial"/>
            <w:i/>
            <w:iCs/>
            <w:noProof/>
          </w:rPr>
          <w:t>rach-ConfigDedicated</w:t>
        </w:r>
        <w:r w:rsidR="00872CF3" w:rsidRPr="005E39FA">
          <w:rPr>
            <w:rStyle w:val="Hyperlink"/>
            <w:rFonts w:cs="Arial"/>
            <w:noProof/>
          </w:rPr>
          <w:t xml:space="preserve"> if configured in the </w:t>
        </w:r>
        <w:r w:rsidR="00872CF3" w:rsidRPr="005E39FA">
          <w:rPr>
            <w:rStyle w:val="Hyperlink"/>
            <w:rFonts w:cs="Arial"/>
            <w:i/>
            <w:iCs/>
            <w:noProof/>
          </w:rPr>
          <w:t>reconfigurationWithSync.</w:t>
        </w:r>
      </w:hyperlink>
    </w:p>
    <w:p w14:paraId="2D319F87"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2" w:history="1">
        <w:r w:rsidR="00872CF3" w:rsidRPr="005E39FA">
          <w:rPr>
            <w:rStyle w:val="Hyperlink"/>
            <w:noProof/>
          </w:rPr>
          <w:t>Proposal 16</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rFonts w:cs="Arial"/>
            <w:noProof/>
          </w:rPr>
          <w:t xml:space="preserve">Add the procedure description about RRC layer indicates lower layer which candidate cell could be performed UE-based TA measurement in case of L3 SpCell change execution and with </w:t>
        </w:r>
        <w:r w:rsidR="00872CF3" w:rsidRPr="005E39FA">
          <w:rPr>
            <w:rStyle w:val="Hyperlink"/>
            <w:rFonts w:cs="Arial"/>
            <w:i/>
            <w:noProof/>
          </w:rPr>
          <w:t>ltm-ServingCellUE-MeasuredTA-ID</w:t>
        </w:r>
        <w:r w:rsidR="00872CF3" w:rsidRPr="005E39FA">
          <w:rPr>
            <w:rStyle w:val="Hyperlink"/>
            <w:rFonts w:cs="Arial"/>
            <w:noProof/>
          </w:rPr>
          <w:t xml:space="preserve"> but without </w:t>
        </w:r>
        <w:r w:rsidR="00872CF3" w:rsidRPr="005E39FA">
          <w:rPr>
            <w:rStyle w:val="Hyperlink"/>
            <w:rFonts w:cs="Arial"/>
            <w:i/>
            <w:noProof/>
          </w:rPr>
          <w:t>ltm-CandidateToAddModList</w:t>
        </w:r>
        <w:r w:rsidR="00872CF3" w:rsidRPr="005E39FA">
          <w:rPr>
            <w:rStyle w:val="Hyperlink"/>
            <w:rFonts w:cs="Arial"/>
            <w:noProof/>
          </w:rPr>
          <w:t xml:space="preserve"> is configured within the reconfiguration message.</w:t>
        </w:r>
      </w:hyperlink>
    </w:p>
    <w:p w14:paraId="63C1C7C5"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3" w:history="1">
        <w:r w:rsidR="00872CF3" w:rsidRPr="005E39FA">
          <w:rPr>
            <w:rStyle w:val="Hyperlink"/>
            <w:noProof/>
          </w:rPr>
          <w:t>Proposal 17</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RAN2 does not consider any further the addition of an explicit information regarding the number of SpCells and SCells within the LTM candidate configuration.</w:t>
        </w:r>
      </w:hyperlink>
    </w:p>
    <w:p w14:paraId="1C19C695"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4" w:history="1">
        <w:r w:rsidR="00872CF3" w:rsidRPr="005E39FA">
          <w:rPr>
            <w:rStyle w:val="Hyperlink"/>
            <w:noProof/>
          </w:rPr>
          <w:t>Proposal 18</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Correct the Interruption time of Figure G-2 (make it end with TLTM-IU).</w:t>
        </w:r>
      </w:hyperlink>
    </w:p>
    <w:p w14:paraId="23E3F8D4"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5" w:history="1">
        <w:r w:rsidR="00872CF3" w:rsidRPr="005E39FA">
          <w:rPr>
            <w:rStyle w:val="Hyperlink"/>
            <w:noProof/>
          </w:rPr>
          <w:t>Proposal 19</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Replace the Tfirst-data by TLTM-IU of Figure G-3.</w:t>
        </w:r>
      </w:hyperlink>
    </w:p>
    <w:p w14:paraId="7BCDA76B"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6" w:history="1">
        <w:r w:rsidR="00872CF3" w:rsidRPr="005E39FA">
          <w:rPr>
            <w:rStyle w:val="Hyperlink"/>
            <w:noProof/>
          </w:rPr>
          <w:t>Proposal 20</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Add ‘Mobility latency’ in Figure G-2 and G-3.</w:t>
        </w:r>
      </w:hyperlink>
    </w:p>
    <w:p w14:paraId="1B9C9BE0"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7" w:history="1">
        <w:r w:rsidR="00872CF3" w:rsidRPr="005E39FA">
          <w:rPr>
            <w:rStyle w:val="Hyperlink"/>
            <w:noProof/>
          </w:rPr>
          <w:t>Proposal 21</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In the LTM cell switch execution procedure, remove the procedure text for the case when ltm-UE-MeasuredTA-ID is not configured for the LTM-Candidate to which the UE is switching.</w:t>
        </w:r>
      </w:hyperlink>
    </w:p>
    <w:p w14:paraId="62149858"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8" w:history="1">
        <w:r w:rsidR="00872CF3" w:rsidRPr="005E39FA">
          <w:rPr>
            <w:rStyle w:val="Hyperlink"/>
            <w:noProof/>
          </w:rPr>
          <w:t>Proposal 22</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Replace the last action at the end of the LTM cell switch execution procedure with "release the radio bearer(s) without pdcp-Config and the logical channel(s) without servedRadioBearer".</w:t>
        </w:r>
      </w:hyperlink>
    </w:p>
    <w:p w14:paraId="4B255C1B"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29" w:history="1">
        <w:r w:rsidR="00872CF3" w:rsidRPr="005E39FA">
          <w:rPr>
            <w:rStyle w:val="Hyperlink"/>
            <w:noProof/>
          </w:rPr>
          <w:t>Proposal 23</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Capture that cg-LTM-Configuration is optionally present in the default uplink BWP of the SpCell in the RRCReconfiguration message contained in ltm-CandidateConfig, and cannot be included in more than one ConfiguredGrantConfig in that uplink BWP.</w:t>
        </w:r>
      </w:hyperlink>
    </w:p>
    <w:p w14:paraId="734B667A" w14:textId="44ED6872" w:rsidR="00872CF3" w:rsidRDefault="00ED71FE">
      <w:pPr>
        <w:pStyle w:val="TableofFigures"/>
        <w:tabs>
          <w:tab w:val="right" w:leader="dot" w:pos="9629"/>
        </w:tabs>
        <w:rPr>
          <w:rStyle w:val="Hyperlink"/>
          <w:noProof/>
        </w:rPr>
      </w:pPr>
      <w:hyperlink w:anchor="_Toc190101230" w:history="1">
        <w:r w:rsidR="00872CF3" w:rsidRPr="005E39FA">
          <w:rPr>
            <w:rStyle w:val="Hyperlink"/>
            <w:noProof/>
          </w:rPr>
          <w:t>Proposal 24</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Add a new field within LTM-Candidate IE to indicate the number of serving cells configured for the LTM candidate configuration</w:t>
        </w:r>
      </w:hyperlink>
      <w:r w:rsidR="00872CF3">
        <w:rPr>
          <w:rStyle w:val="Hyperlink"/>
          <w:noProof/>
        </w:rPr>
        <w:br/>
      </w:r>
    </w:p>
    <w:p w14:paraId="618B16B3" w14:textId="7FB2AEC3" w:rsidR="00872CF3" w:rsidRPr="00872CF3" w:rsidRDefault="00872CF3" w:rsidP="00872CF3">
      <w:pPr>
        <w:pStyle w:val="BodyText"/>
      </w:pPr>
      <w:r>
        <w:t xml:space="preserve">The remaining proposals are suggested </w:t>
      </w:r>
      <w:r w:rsidRPr="00DE59CB">
        <w:rPr>
          <w:highlight w:val="cyan"/>
        </w:rPr>
        <w:t>to be discussed OFFLINE</w:t>
      </w:r>
      <w:r>
        <w:t>:</w:t>
      </w:r>
    </w:p>
    <w:p w14:paraId="2EA73B06" w14:textId="77777777" w:rsidR="00872CF3" w:rsidRDefault="00ED71FE">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90101231" w:history="1">
        <w:r w:rsidR="00872CF3" w:rsidRPr="005E39FA">
          <w:rPr>
            <w:rStyle w:val="Hyperlink"/>
            <w:noProof/>
          </w:rPr>
          <w:t>Proposal 25</w:t>
        </w:r>
        <w:r w:rsidR="00872CF3">
          <w:rPr>
            <w:rFonts w:asciiTheme="minorHAnsi" w:eastAsiaTheme="minorEastAsia" w:hAnsiTheme="minorHAnsi" w:cstheme="minorBidi"/>
            <w:b w:val="0"/>
            <w:kern w:val="2"/>
            <w:sz w:val="24"/>
            <w:szCs w:val="24"/>
            <w:lang w:eastAsia="en-GB"/>
            <w14:ligatures w14:val="standardContextual"/>
          </w:rPr>
          <w:tab/>
        </w:r>
        <w:r w:rsidR="00872CF3" w:rsidRPr="005E39FA">
          <w:rPr>
            <w:rStyle w:val="Hyperlink"/>
            <w:noProof/>
          </w:rPr>
          <w:t>Discuss the remaining RRC proposals (including the ones suggested to not be pursued) offline.</w:t>
        </w:r>
      </w:hyperlink>
    </w:p>
    <w:p w14:paraId="6FECCF80" w14:textId="609033D0" w:rsidR="003A7EF3" w:rsidRDefault="006E1C82" w:rsidP="00A15781">
      <w:pPr>
        <w:pStyle w:val="TableofFigures"/>
        <w:tabs>
          <w:tab w:val="right" w:leader="dot" w:pos="9629"/>
        </w:tabs>
        <w:rPr>
          <w:lang w:val="en-US"/>
        </w:rPr>
      </w:pPr>
      <w:r>
        <w:rPr>
          <w:lang w:val="en-US"/>
        </w:rPr>
        <w:fldChar w:fldCharType="end"/>
      </w:r>
      <w:bookmarkStart w:id="26" w:name="_In-sequence_SDU_delivery"/>
      <w:bookmarkEnd w:id="26"/>
    </w:p>
    <w:sectPr w:rsidR="003A7EF3" w:rsidSect="00854EFB">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F226" w14:textId="77777777" w:rsidR="00A9604E" w:rsidRDefault="00A9604E">
      <w:r>
        <w:separator/>
      </w:r>
    </w:p>
  </w:endnote>
  <w:endnote w:type="continuationSeparator" w:id="0">
    <w:p w14:paraId="7E4BD492" w14:textId="77777777" w:rsidR="00A9604E" w:rsidRDefault="00A9604E">
      <w:r>
        <w:continuationSeparator/>
      </w:r>
    </w:p>
  </w:endnote>
  <w:endnote w:type="continuationNotice" w:id="1">
    <w:p w14:paraId="7643811C" w14:textId="77777777" w:rsidR="00A9604E" w:rsidRDefault="00A9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SimSun"/>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6E257" w14:textId="77777777" w:rsidR="00A9604E" w:rsidRDefault="00A9604E">
      <w:r>
        <w:separator/>
      </w:r>
    </w:p>
  </w:footnote>
  <w:footnote w:type="continuationSeparator" w:id="0">
    <w:p w14:paraId="4186BD77" w14:textId="77777777" w:rsidR="00A9604E" w:rsidRDefault="00A9604E">
      <w:r>
        <w:continuationSeparator/>
      </w:r>
    </w:p>
  </w:footnote>
  <w:footnote w:type="continuationNotice" w:id="1">
    <w:p w14:paraId="6FBF5C06" w14:textId="77777777" w:rsidR="00A9604E" w:rsidRDefault="00A9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DA0F9A"/>
    <w:multiLevelType w:val="hybridMultilevel"/>
    <w:tmpl w:val="7C5C43E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0E824A52"/>
    <w:multiLevelType w:val="hybridMultilevel"/>
    <w:tmpl w:val="87765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5044D4"/>
    <w:multiLevelType w:val="hybridMultilevel"/>
    <w:tmpl w:val="874C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9A31A2"/>
    <w:multiLevelType w:val="hybridMultilevel"/>
    <w:tmpl w:val="B4581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302174"/>
    <w:multiLevelType w:val="hybridMultilevel"/>
    <w:tmpl w:val="2FB0D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DF6DAE"/>
    <w:multiLevelType w:val="hybridMultilevel"/>
    <w:tmpl w:val="0F00F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B02A93"/>
    <w:multiLevelType w:val="hybridMultilevel"/>
    <w:tmpl w:val="4FFA9B9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2F419D"/>
    <w:multiLevelType w:val="hybridMultilevel"/>
    <w:tmpl w:val="DD083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B171A90"/>
    <w:multiLevelType w:val="hybridMultilevel"/>
    <w:tmpl w:val="7EF2A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8"/>
  </w:num>
  <w:num w:numId="3" w16cid:durableId="149030463">
    <w:abstractNumId w:val="23"/>
  </w:num>
  <w:num w:numId="4" w16cid:durableId="1793861358">
    <w:abstractNumId w:val="24"/>
  </w:num>
  <w:num w:numId="5" w16cid:durableId="1243223580">
    <w:abstractNumId w:val="16"/>
  </w:num>
  <w:num w:numId="6" w16cid:durableId="228659845">
    <w:abstractNumId w:val="26"/>
  </w:num>
  <w:num w:numId="7" w16cid:durableId="758915933">
    <w:abstractNumId w:val="32"/>
  </w:num>
  <w:num w:numId="8" w16cid:durableId="779645832">
    <w:abstractNumId w:val="17"/>
  </w:num>
  <w:num w:numId="9" w16cid:durableId="237790278">
    <w:abstractNumId w:val="13"/>
  </w:num>
  <w:num w:numId="10" w16cid:durableId="1774858864">
    <w:abstractNumId w:val="2"/>
  </w:num>
  <w:num w:numId="11" w16cid:durableId="98722567">
    <w:abstractNumId w:val="1"/>
  </w:num>
  <w:num w:numId="12" w16cid:durableId="818768327">
    <w:abstractNumId w:val="0"/>
  </w:num>
  <w:num w:numId="13" w16cid:durableId="1463575834">
    <w:abstractNumId w:val="29"/>
  </w:num>
  <w:num w:numId="14" w16cid:durableId="1237780611">
    <w:abstractNumId w:val="30"/>
  </w:num>
  <w:num w:numId="15" w16cid:durableId="1303653466">
    <w:abstractNumId w:val="25"/>
  </w:num>
  <w:num w:numId="16" w16cid:durableId="1461000268">
    <w:abstractNumId w:val="33"/>
  </w:num>
  <w:num w:numId="17" w16cid:durableId="2068138227">
    <w:abstractNumId w:val="9"/>
  </w:num>
  <w:num w:numId="18" w16cid:durableId="458114767">
    <w:abstractNumId w:val="11"/>
  </w:num>
  <w:num w:numId="19" w16cid:durableId="995108944">
    <w:abstractNumId w:val="6"/>
  </w:num>
  <w:num w:numId="20" w16cid:durableId="822239829">
    <w:abstractNumId w:val="39"/>
  </w:num>
  <w:num w:numId="21" w16cid:durableId="976183084">
    <w:abstractNumId w:val="18"/>
  </w:num>
  <w:num w:numId="22" w16cid:durableId="1374117700">
    <w:abstractNumId w:val="37"/>
  </w:num>
  <w:num w:numId="23" w16cid:durableId="641887580">
    <w:abstractNumId w:val="38"/>
  </w:num>
  <w:num w:numId="24" w16cid:durableId="1930237104">
    <w:abstractNumId w:val="34"/>
  </w:num>
  <w:num w:numId="25" w16cid:durableId="883368040">
    <w:abstractNumId w:val="15"/>
  </w:num>
  <w:num w:numId="26" w16cid:durableId="2123258985">
    <w:abstractNumId w:val="12"/>
  </w:num>
  <w:num w:numId="27" w16cid:durableId="36855504">
    <w:abstractNumId w:val="10"/>
  </w:num>
  <w:num w:numId="28" w16cid:durableId="1863397989">
    <w:abstractNumId w:val="7"/>
  </w:num>
  <w:num w:numId="29" w16cid:durableId="483739148">
    <w:abstractNumId w:val="14"/>
  </w:num>
  <w:num w:numId="30" w16cid:durableId="1289819180">
    <w:abstractNumId w:val="35"/>
  </w:num>
  <w:num w:numId="31" w16cid:durableId="2116288603">
    <w:abstractNumId w:val="40"/>
  </w:num>
  <w:num w:numId="32" w16cid:durableId="1902667659">
    <w:abstractNumId w:val="8"/>
  </w:num>
  <w:num w:numId="33" w16cid:durableId="410200287">
    <w:abstractNumId w:val="19"/>
  </w:num>
  <w:num w:numId="34" w16cid:durableId="1527256989">
    <w:abstractNumId w:val="5"/>
  </w:num>
  <w:num w:numId="35" w16cid:durableId="43336165">
    <w:abstractNumId w:val="21"/>
  </w:num>
  <w:num w:numId="36" w16cid:durableId="2112581363">
    <w:abstractNumId w:val="22"/>
  </w:num>
  <w:num w:numId="37" w16cid:durableId="310062027">
    <w:abstractNumId w:val="20"/>
  </w:num>
  <w:num w:numId="38" w16cid:durableId="649990890">
    <w:abstractNumId w:val="27"/>
  </w:num>
  <w:num w:numId="39" w16cid:durableId="719984807">
    <w:abstractNumId w:val="36"/>
  </w:num>
  <w:num w:numId="40" w16cid:durableId="657810634">
    <w:abstractNumId w:val="31"/>
  </w:num>
  <w:num w:numId="41" w16cid:durableId="201595640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00C"/>
    <w:rsid w:val="00006446"/>
    <w:rsid w:val="00006896"/>
    <w:rsid w:val="00007CDC"/>
    <w:rsid w:val="00010B13"/>
    <w:rsid w:val="00011B28"/>
    <w:rsid w:val="00013AC8"/>
    <w:rsid w:val="00013ACD"/>
    <w:rsid w:val="00015BF4"/>
    <w:rsid w:val="00015D15"/>
    <w:rsid w:val="00016243"/>
    <w:rsid w:val="00016B28"/>
    <w:rsid w:val="0002564D"/>
    <w:rsid w:val="00025ECA"/>
    <w:rsid w:val="0002616A"/>
    <w:rsid w:val="00026EB2"/>
    <w:rsid w:val="000325B8"/>
    <w:rsid w:val="00034C15"/>
    <w:rsid w:val="00036343"/>
    <w:rsid w:val="00036BA1"/>
    <w:rsid w:val="00041E2E"/>
    <w:rsid w:val="000422E2"/>
    <w:rsid w:val="00042F22"/>
    <w:rsid w:val="000444EF"/>
    <w:rsid w:val="000462F7"/>
    <w:rsid w:val="000520DD"/>
    <w:rsid w:val="00052217"/>
    <w:rsid w:val="00052A07"/>
    <w:rsid w:val="000534E3"/>
    <w:rsid w:val="0005606A"/>
    <w:rsid w:val="00057117"/>
    <w:rsid w:val="00057F1A"/>
    <w:rsid w:val="000616E7"/>
    <w:rsid w:val="0006313A"/>
    <w:rsid w:val="0006487E"/>
    <w:rsid w:val="00065E1A"/>
    <w:rsid w:val="00070A6C"/>
    <w:rsid w:val="00074107"/>
    <w:rsid w:val="00074D2E"/>
    <w:rsid w:val="00077E5F"/>
    <w:rsid w:val="0008036A"/>
    <w:rsid w:val="00081AE6"/>
    <w:rsid w:val="000855EB"/>
    <w:rsid w:val="00085B52"/>
    <w:rsid w:val="000866F2"/>
    <w:rsid w:val="0009009F"/>
    <w:rsid w:val="00091557"/>
    <w:rsid w:val="00092236"/>
    <w:rsid w:val="000924C1"/>
    <w:rsid w:val="000924F0"/>
    <w:rsid w:val="00093474"/>
    <w:rsid w:val="0009413E"/>
    <w:rsid w:val="0009510F"/>
    <w:rsid w:val="000A1B7B"/>
    <w:rsid w:val="000A35BA"/>
    <w:rsid w:val="000A56F2"/>
    <w:rsid w:val="000B06D6"/>
    <w:rsid w:val="000B2719"/>
    <w:rsid w:val="000B2AD1"/>
    <w:rsid w:val="000B3A8F"/>
    <w:rsid w:val="000B4AB9"/>
    <w:rsid w:val="000B58C3"/>
    <w:rsid w:val="000B61E9"/>
    <w:rsid w:val="000B7500"/>
    <w:rsid w:val="000C165A"/>
    <w:rsid w:val="000C2E19"/>
    <w:rsid w:val="000C3312"/>
    <w:rsid w:val="000C52A8"/>
    <w:rsid w:val="000C5979"/>
    <w:rsid w:val="000D0D07"/>
    <w:rsid w:val="000D3AB1"/>
    <w:rsid w:val="000D4797"/>
    <w:rsid w:val="000E0527"/>
    <w:rsid w:val="000E0890"/>
    <w:rsid w:val="000E1E92"/>
    <w:rsid w:val="000E3579"/>
    <w:rsid w:val="000E56C3"/>
    <w:rsid w:val="000E7C79"/>
    <w:rsid w:val="000F06D6"/>
    <w:rsid w:val="000F0EB1"/>
    <w:rsid w:val="000F1106"/>
    <w:rsid w:val="000F3BE9"/>
    <w:rsid w:val="000F3F6C"/>
    <w:rsid w:val="000F6DF3"/>
    <w:rsid w:val="001005FF"/>
    <w:rsid w:val="001030F1"/>
    <w:rsid w:val="001054D6"/>
    <w:rsid w:val="00105BEE"/>
    <w:rsid w:val="001061AA"/>
    <w:rsid w:val="001062FB"/>
    <w:rsid w:val="001063E6"/>
    <w:rsid w:val="001069D1"/>
    <w:rsid w:val="00113CF4"/>
    <w:rsid w:val="001153EA"/>
    <w:rsid w:val="00115643"/>
    <w:rsid w:val="00115DB3"/>
    <w:rsid w:val="00116765"/>
    <w:rsid w:val="0011744E"/>
    <w:rsid w:val="00117FCA"/>
    <w:rsid w:val="001203D8"/>
    <w:rsid w:val="001208B3"/>
    <w:rsid w:val="00120B7F"/>
    <w:rsid w:val="001219F5"/>
    <w:rsid w:val="00121A20"/>
    <w:rsid w:val="0012377F"/>
    <w:rsid w:val="00124314"/>
    <w:rsid w:val="00125664"/>
    <w:rsid w:val="00126B4A"/>
    <w:rsid w:val="00127265"/>
    <w:rsid w:val="001300A3"/>
    <w:rsid w:val="00132655"/>
    <w:rsid w:val="00132FD0"/>
    <w:rsid w:val="001344C0"/>
    <w:rsid w:val="001346FA"/>
    <w:rsid w:val="00135252"/>
    <w:rsid w:val="00135DCB"/>
    <w:rsid w:val="00137AB5"/>
    <w:rsid w:val="00137F0B"/>
    <w:rsid w:val="00141F44"/>
    <w:rsid w:val="001422E1"/>
    <w:rsid w:val="0014233B"/>
    <w:rsid w:val="00144E71"/>
    <w:rsid w:val="001471D9"/>
    <w:rsid w:val="00151E23"/>
    <w:rsid w:val="001526E0"/>
    <w:rsid w:val="00153C1D"/>
    <w:rsid w:val="001551B5"/>
    <w:rsid w:val="00155672"/>
    <w:rsid w:val="0016118E"/>
    <w:rsid w:val="00161AE2"/>
    <w:rsid w:val="00162AA8"/>
    <w:rsid w:val="001659C1"/>
    <w:rsid w:val="0016602E"/>
    <w:rsid w:val="00170B7B"/>
    <w:rsid w:val="00171A68"/>
    <w:rsid w:val="00172EB3"/>
    <w:rsid w:val="00173A8E"/>
    <w:rsid w:val="00173F6A"/>
    <w:rsid w:val="0017502C"/>
    <w:rsid w:val="00181432"/>
    <w:rsid w:val="0018143F"/>
    <w:rsid w:val="00181FF8"/>
    <w:rsid w:val="0018273A"/>
    <w:rsid w:val="0018393F"/>
    <w:rsid w:val="001855BC"/>
    <w:rsid w:val="00185BCA"/>
    <w:rsid w:val="00190AC1"/>
    <w:rsid w:val="0019341A"/>
    <w:rsid w:val="00197DF9"/>
    <w:rsid w:val="001A1987"/>
    <w:rsid w:val="001A2564"/>
    <w:rsid w:val="001A2751"/>
    <w:rsid w:val="001A6173"/>
    <w:rsid w:val="001A6CBA"/>
    <w:rsid w:val="001A6E9B"/>
    <w:rsid w:val="001A702A"/>
    <w:rsid w:val="001B0D97"/>
    <w:rsid w:val="001B10D3"/>
    <w:rsid w:val="001B4A9B"/>
    <w:rsid w:val="001B4D13"/>
    <w:rsid w:val="001B5A5D"/>
    <w:rsid w:val="001B7F50"/>
    <w:rsid w:val="001C1615"/>
    <w:rsid w:val="001C1CE5"/>
    <w:rsid w:val="001C231D"/>
    <w:rsid w:val="001C2DDC"/>
    <w:rsid w:val="001C33D6"/>
    <w:rsid w:val="001C3D2A"/>
    <w:rsid w:val="001C53D2"/>
    <w:rsid w:val="001D4259"/>
    <w:rsid w:val="001D51BA"/>
    <w:rsid w:val="001D53E7"/>
    <w:rsid w:val="001D6342"/>
    <w:rsid w:val="001D6CDB"/>
    <w:rsid w:val="001D6D53"/>
    <w:rsid w:val="001D7E6C"/>
    <w:rsid w:val="001E01CA"/>
    <w:rsid w:val="001E238A"/>
    <w:rsid w:val="001E3F67"/>
    <w:rsid w:val="001E5677"/>
    <w:rsid w:val="001E58E2"/>
    <w:rsid w:val="001E7047"/>
    <w:rsid w:val="001E7AED"/>
    <w:rsid w:val="001F3916"/>
    <w:rsid w:val="001F3E6F"/>
    <w:rsid w:val="001F48BE"/>
    <w:rsid w:val="001F5452"/>
    <w:rsid w:val="001F54C5"/>
    <w:rsid w:val="001F662C"/>
    <w:rsid w:val="001F7074"/>
    <w:rsid w:val="0020038D"/>
    <w:rsid w:val="00200490"/>
    <w:rsid w:val="002019D0"/>
    <w:rsid w:val="00201F3A"/>
    <w:rsid w:val="00203F96"/>
    <w:rsid w:val="002069B2"/>
    <w:rsid w:val="00207FA3"/>
    <w:rsid w:val="00210B39"/>
    <w:rsid w:val="00214DA8"/>
    <w:rsid w:val="00215423"/>
    <w:rsid w:val="002158FA"/>
    <w:rsid w:val="00217CB7"/>
    <w:rsid w:val="00220600"/>
    <w:rsid w:val="00221862"/>
    <w:rsid w:val="00222425"/>
    <w:rsid w:val="002224DB"/>
    <w:rsid w:val="00223FCB"/>
    <w:rsid w:val="00224BED"/>
    <w:rsid w:val="002252C3"/>
    <w:rsid w:val="00225C54"/>
    <w:rsid w:val="00230765"/>
    <w:rsid w:val="00230D18"/>
    <w:rsid w:val="002319E4"/>
    <w:rsid w:val="00235632"/>
    <w:rsid w:val="00235872"/>
    <w:rsid w:val="00236110"/>
    <w:rsid w:val="0024121C"/>
    <w:rsid w:val="00241559"/>
    <w:rsid w:val="002435B3"/>
    <w:rsid w:val="00244DFF"/>
    <w:rsid w:val="002458EB"/>
    <w:rsid w:val="00246A36"/>
    <w:rsid w:val="00247873"/>
    <w:rsid w:val="002500C8"/>
    <w:rsid w:val="00255C91"/>
    <w:rsid w:val="00257543"/>
    <w:rsid w:val="002617E7"/>
    <w:rsid w:val="002634A9"/>
    <w:rsid w:val="00264228"/>
    <w:rsid w:val="00264334"/>
    <w:rsid w:val="0026473E"/>
    <w:rsid w:val="00266214"/>
    <w:rsid w:val="00267C83"/>
    <w:rsid w:val="0027144F"/>
    <w:rsid w:val="00271813"/>
    <w:rsid w:val="00271F3A"/>
    <w:rsid w:val="00273278"/>
    <w:rsid w:val="002737F4"/>
    <w:rsid w:val="00277638"/>
    <w:rsid w:val="0028044C"/>
    <w:rsid w:val="002805F5"/>
    <w:rsid w:val="00280751"/>
    <w:rsid w:val="0028280A"/>
    <w:rsid w:val="002837B1"/>
    <w:rsid w:val="002837D6"/>
    <w:rsid w:val="00283DB1"/>
    <w:rsid w:val="00286ACD"/>
    <w:rsid w:val="00287838"/>
    <w:rsid w:val="002907B5"/>
    <w:rsid w:val="00292EB7"/>
    <w:rsid w:val="00295A03"/>
    <w:rsid w:val="00296227"/>
    <w:rsid w:val="00296F44"/>
    <w:rsid w:val="0029777D"/>
    <w:rsid w:val="002A055E"/>
    <w:rsid w:val="002A1D4E"/>
    <w:rsid w:val="002A2869"/>
    <w:rsid w:val="002A3DA6"/>
    <w:rsid w:val="002A5442"/>
    <w:rsid w:val="002B24D6"/>
    <w:rsid w:val="002B4B6C"/>
    <w:rsid w:val="002B611B"/>
    <w:rsid w:val="002B741A"/>
    <w:rsid w:val="002C41E6"/>
    <w:rsid w:val="002C501F"/>
    <w:rsid w:val="002C52E7"/>
    <w:rsid w:val="002C6278"/>
    <w:rsid w:val="002D071A"/>
    <w:rsid w:val="002D2DB0"/>
    <w:rsid w:val="002D34B2"/>
    <w:rsid w:val="002D48B0"/>
    <w:rsid w:val="002D5B37"/>
    <w:rsid w:val="002D7637"/>
    <w:rsid w:val="002E17F2"/>
    <w:rsid w:val="002E1B9C"/>
    <w:rsid w:val="002E223C"/>
    <w:rsid w:val="002E5BC0"/>
    <w:rsid w:val="002E64FB"/>
    <w:rsid w:val="002E7CAE"/>
    <w:rsid w:val="002F2771"/>
    <w:rsid w:val="002F37A9"/>
    <w:rsid w:val="00301C4E"/>
    <w:rsid w:val="00301CE6"/>
    <w:rsid w:val="0030256B"/>
    <w:rsid w:val="0030501F"/>
    <w:rsid w:val="00306E58"/>
    <w:rsid w:val="00307BA1"/>
    <w:rsid w:val="00311702"/>
    <w:rsid w:val="00311E82"/>
    <w:rsid w:val="00313FD6"/>
    <w:rsid w:val="003143BD"/>
    <w:rsid w:val="00314815"/>
    <w:rsid w:val="00315363"/>
    <w:rsid w:val="003203ED"/>
    <w:rsid w:val="003205BB"/>
    <w:rsid w:val="00322C9F"/>
    <w:rsid w:val="00324D23"/>
    <w:rsid w:val="00324DA4"/>
    <w:rsid w:val="00325812"/>
    <w:rsid w:val="00326C0C"/>
    <w:rsid w:val="003305DF"/>
    <w:rsid w:val="00330D8F"/>
    <w:rsid w:val="00331751"/>
    <w:rsid w:val="00332722"/>
    <w:rsid w:val="00334579"/>
    <w:rsid w:val="00335858"/>
    <w:rsid w:val="00336BDA"/>
    <w:rsid w:val="00337E11"/>
    <w:rsid w:val="00342BD7"/>
    <w:rsid w:val="00346DB5"/>
    <w:rsid w:val="003477B1"/>
    <w:rsid w:val="00352524"/>
    <w:rsid w:val="00353CC2"/>
    <w:rsid w:val="00357380"/>
    <w:rsid w:val="003602D9"/>
    <w:rsid w:val="003604CE"/>
    <w:rsid w:val="0036366B"/>
    <w:rsid w:val="00370DEB"/>
    <w:rsid w:val="00370E47"/>
    <w:rsid w:val="003742AC"/>
    <w:rsid w:val="003750CB"/>
    <w:rsid w:val="00377CE1"/>
    <w:rsid w:val="00385BF0"/>
    <w:rsid w:val="003939FF"/>
    <w:rsid w:val="00393FEC"/>
    <w:rsid w:val="00396A76"/>
    <w:rsid w:val="003A2223"/>
    <w:rsid w:val="003A2A0F"/>
    <w:rsid w:val="003A3101"/>
    <w:rsid w:val="003A43E6"/>
    <w:rsid w:val="003A45A1"/>
    <w:rsid w:val="003A5B0A"/>
    <w:rsid w:val="003A6BAC"/>
    <w:rsid w:val="003A70A4"/>
    <w:rsid w:val="003A7EF3"/>
    <w:rsid w:val="003B159C"/>
    <w:rsid w:val="003B369F"/>
    <w:rsid w:val="003B36A3"/>
    <w:rsid w:val="003B64BB"/>
    <w:rsid w:val="003B659F"/>
    <w:rsid w:val="003B7B8E"/>
    <w:rsid w:val="003B7FE5"/>
    <w:rsid w:val="003C11C8"/>
    <w:rsid w:val="003C2702"/>
    <w:rsid w:val="003C7806"/>
    <w:rsid w:val="003D109F"/>
    <w:rsid w:val="003D2478"/>
    <w:rsid w:val="003D3C45"/>
    <w:rsid w:val="003D5B1F"/>
    <w:rsid w:val="003E15FA"/>
    <w:rsid w:val="003E1EA0"/>
    <w:rsid w:val="003E45ED"/>
    <w:rsid w:val="003E55E4"/>
    <w:rsid w:val="003E74E3"/>
    <w:rsid w:val="003F05C7"/>
    <w:rsid w:val="003F2CD4"/>
    <w:rsid w:val="003F408E"/>
    <w:rsid w:val="003F4AED"/>
    <w:rsid w:val="003F6BBE"/>
    <w:rsid w:val="003F7872"/>
    <w:rsid w:val="003F7907"/>
    <w:rsid w:val="003F79C1"/>
    <w:rsid w:val="004000E8"/>
    <w:rsid w:val="00400819"/>
    <w:rsid w:val="00401D0F"/>
    <w:rsid w:val="00402E2B"/>
    <w:rsid w:val="0040512B"/>
    <w:rsid w:val="00405CA5"/>
    <w:rsid w:val="004072C3"/>
    <w:rsid w:val="00407B3F"/>
    <w:rsid w:val="00407CD3"/>
    <w:rsid w:val="00410134"/>
    <w:rsid w:val="00410B72"/>
    <w:rsid w:val="00410F18"/>
    <w:rsid w:val="0041263E"/>
    <w:rsid w:val="00412B01"/>
    <w:rsid w:val="00413AAC"/>
    <w:rsid w:val="00413E92"/>
    <w:rsid w:val="00415BB2"/>
    <w:rsid w:val="00421105"/>
    <w:rsid w:val="00421FBF"/>
    <w:rsid w:val="00422AA4"/>
    <w:rsid w:val="004242F4"/>
    <w:rsid w:val="004271DA"/>
    <w:rsid w:val="00427248"/>
    <w:rsid w:val="00437447"/>
    <w:rsid w:val="00441A92"/>
    <w:rsid w:val="004431DC"/>
    <w:rsid w:val="00444785"/>
    <w:rsid w:val="00444F56"/>
    <w:rsid w:val="00445D3E"/>
    <w:rsid w:val="00446488"/>
    <w:rsid w:val="00447193"/>
    <w:rsid w:val="00447DC3"/>
    <w:rsid w:val="004517AA"/>
    <w:rsid w:val="004520E9"/>
    <w:rsid w:val="00452CAC"/>
    <w:rsid w:val="00453753"/>
    <w:rsid w:val="00457565"/>
    <w:rsid w:val="00457B71"/>
    <w:rsid w:val="00461C84"/>
    <w:rsid w:val="004620D8"/>
    <w:rsid w:val="00462C67"/>
    <w:rsid w:val="004669E2"/>
    <w:rsid w:val="00470C31"/>
    <w:rsid w:val="00471DE0"/>
    <w:rsid w:val="004734D0"/>
    <w:rsid w:val="0047556B"/>
    <w:rsid w:val="00477768"/>
    <w:rsid w:val="00483EBC"/>
    <w:rsid w:val="0048602F"/>
    <w:rsid w:val="00492BC5"/>
    <w:rsid w:val="0049342B"/>
    <w:rsid w:val="004960AF"/>
    <w:rsid w:val="004964F1"/>
    <w:rsid w:val="00496CBB"/>
    <w:rsid w:val="004972B8"/>
    <w:rsid w:val="00497588"/>
    <w:rsid w:val="004A16BC"/>
    <w:rsid w:val="004A25F1"/>
    <w:rsid w:val="004A2B94"/>
    <w:rsid w:val="004A6E83"/>
    <w:rsid w:val="004B3A64"/>
    <w:rsid w:val="004B6F6A"/>
    <w:rsid w:val="004B7C0C"/>
    <w:rsid w:val="004C118F"/>
    <w:rsid w:val="004C3898"/>
    <w:rsid w:val="004C3D72"/>
    <w:rsid w:val="004C3F4E"/>
    <w:rsid w:val="004D07E8"/>
    <w:rsid w:val="004D36B1"/>
    <w:rsid w:val="004D7EBD"/>
    <w:rsid w:val="004E2680"/>
    <w:rsid w:val="004E28F9"/>
    <w:rsid w:val="004E462E"/>
    <w:rsid w:val="004E56DC"/>
    <w:rsid w:val="004E76F4"/>
    <w:rsid w:val="004E7B43"/>
    <w:rsid w:val="004F0B4E"/>
    <w:rsid w:val="004F0B6C"/>
    <w:rsid w:val="004F2078"/>
    <w:rsid w:val="004F2446"/>
    <w:rsid w:val="004F2D93"/>
    <w:rsid w:val="004F3500"/>
    <w:rsid w:val="004F46CF"/>
    <w:rsid w:val="004F4DA3"/>
    <w:rsid w:val="00506557"/>
    <w:rsid w:val="0050677A"/>
    <w:rsid w:val="005108D8"/>
    <w:rsid w:val="005116F9"/>
    <w:rsid w:val="005153A7"/>
    <w:rsid w:val="005219CF"/>
    <w:rsid w:val="005326CB"/>
    <w:rsid w:val="00534B59"/>
    <w:rsid w:val="00534E67"/>
    <w:rsid w:val="00536759"/>
    <w:rsid w:val="00537C62"/>
    <w:rsid w:val="00541875"/>
    <w:rsid w:val="00546970"/>
    <w:rsid w:val="00547EFE"/>
    <w:rsid w:val="00554E19"/>
    <w:rsid w:val="00560AED"/>
    <w:rsid w:val="0056121F"/>
    <w:rsid w:val="0057146A"/>
    <w:rsid w:val="00572505"/>
    <w:rsid w:val="00573135"/>
    <w:rsid w:val="005802D1"/>
    <w:rsid w:val="00582500"/>
    <w:rsid w:val="00582665"/>
    <w:rsid w:val="00582809"/>
    <w:rsid w:val="00584AA7"/>
    <w:rsid w:val="0058798C"/>
    <w:rsid w:val="005900FA"/>
    <w:rsid w:val="00590D8D"/>
    <w:rsid w:val="00591452"/>
    <w:rsid w:val="00591E6E"/>
    <w:rsid w:val="00592AE0"/>
    <w:rsid w:val="005935A4"/>
    <w:rsid w:val="005948C2"/>
    <w:rsid w:val="005948DE"/>
    <w:rsid w:val="00595DCA"/>
    <w:rsid w:val="0059779B"/>
    <w:rsid w:val="00597DB6"/>
    <w:rsid w:val="005A209A"/>
    <w:rsid w:val="005A255E"/>
    <w:rsid w:val="005A4831"/>
    <w:rsid w:val="005A5AED"/>
    <w:rsid w:val="005A662D"/>
    <w:rsid w:val="005A6C0F"/>
    <w:rsid w:val="005B022D"/>
    <w:rsid w:val="005B1409"/>
    <w:rsid w:val="005B2F12"/>
    <w:rsid w:val="005B35D7"/>
    <w:rsid w:val="005B392A"/>
    <w:rsid w:val="005B3AA3"/>
    <w:rsid w:val="005B6A77"/>
    <w:rsid w:val="005B6F83"/>
    <w:rsid w:val="005C0EF3"/>
    <w:rsid w:val="005C158B"/>
    <w:rsid w:val="005C1838"/>
    <w:rsid w:val="005C2FCF"/>
    <w:rsid w:val="005C538D"/>
    <w:rsid w:val="005C74FB"/>
    <w:rsid w:val="005D0513"/>
    <w:rsid w:val="005D0AE5"/>
    <w:rsid w:val="005D1602"/>
    <w:rsid w:val="005D51AB"/>
    <w:rsid w:val="005D7056"/>
    <w:rsid w:val="005E1139"/>
    <w:rsid w:val="005E385F"/>
    <w:rsid w:val="005E5B81"/>
    <w:rsid w:val="005E638A"/>
    <w:rsid w:val="005F2302"/>
    <w:rsid w:val="005F2CB1"/>
    <w:rsid w:val="005F3025"/>
    <w:rsid w:val="005F4371"/>
    <w:rsid w:val="005F4C62"/>
    <w:rsid w:val="005F618C"/>
    <w:rsid w:val="005F70BD"/>
    <w:rsid w:val="00600974"/>
    <w:rsid w:val="0060283C"/>
    <w:rsid w:val="0060320F"/>
    <w:rsid w:val="00604F14"/>
    <w:rsid w:val="00605B43"/>
    <w:rsid w:val="006107BF"/>
    <w:rsid w:val="00611B83"/>
    <w:rsid w:val="00613257"/>
    <w:rsid w:val="00613752"/>
    <w:rsid w:val="00613878"/>
    <w:rsid w:val="00620A71"/>
    <w:rsid w:val="00620D80"/>
    <w:rsid w:val="006221EC"/>
    <w:rsid w:val="006234A6"/>
    <w:rsid w:val="0062535F"/>
    <w:rsid w:val="006255E7"/>
    <w:rsid w:val="00630001"/>
    <w:rsid w:val="006311B3"/>
    <w:rsid w:val="0063284C"/>
    <w:rsid w:val="00633284"/>
    <w:rsid w:val="006332EA"/>
    <w:rsid w:val="00636398"/>
    <w:rsid w:val="006367DF"/>
    <w:rsid w:val="006368D3"/>
    <w:rsid w:val="006377EC"/>
    <w:rsid w:val="0064151F"/>
    <w:rsid w:val="00641533"/>
    <w:rsid w:val="0064208D"/>
    <w:rsid w:val="006428F3"/>
    <w:rsid w:val="00643475"/>
    <w:rsid w:val="0064396A"/>
    <w:rsid w:val="0064624E"/>
    <w:rsid w:val="00650AB9"/>
    <w:rsid w:val="006537BE"/>
    <w:rsid w:val="00655733"/>
    <w:rsid w:val="00655AA4"/>
    <w:rsid w:val="00655ACD"/>
    <w:rsid w:val="00656A92"/>
    <w:rsid w:val="00656DDE"/>
    <w:rsid w:val="0066011D"/>
    <w:rsid w:val="006607C0"/>
    <w:rsid w:val="006613A6"/>
    <w:rsid w:val="006627A2"/>
    <w:rsid w:val="006634E6"/>
    <w:rsid w:val="006655EE"/>
    <w:rsid w:val="00666416"/>
    <w:rsid w:val="00667EE7"/>
    <w:rsid w:val="006708E0"/>
    <w:rsid w:val="00670922"/>
    <w:rsid w:val="00670BE1"/>
    <w:rsid w:val="0067218F"/>
    <w:rsid w:val="006739F9"/>
    <w:rsid w:val="006741F2"/>
    <w:rsid w:val="00674CC3"/>
    <w:rsid w:val="00675C72"/>
    <w:rsid w:val="00676A8B"/>
    <w:rsid w:val="006771F9"/>
    <w:rsid w:val="006776D7"/>
    <w:rsid w:val="00681003"/>
    <w:rsid w:val="006817C9"/>
    <w:rsid w:val="00683ECE"/>
    <w:rsid w:val="00685661"/>
    <w:rsid w:val="00685E21"/>
    <w:rsid w:val="00686F39"/>
    <w:rsid w:val="00692B61"/>
    <w:rsid w:val="006933B0"/>
    <w:rsid w:val="00694BE0"/>
    <w:rsid w:val="00694D3E"/>
    <w:rsid w:val="00695963"/>
    <w:rsid w:val="00695FC2"/>
    <w:rsid w:val="00696949"/>
    <w:rsid w:val="00696C06"/>
    <w:rsid w:val="00697052"/>
    <w:rsid w:val="006A46FB"/>
    <w:rsid w:val="006A5E28"/>
    <w:rsid w:val="006A60F7"/>
    <w:rsid w:val="006A697B"/>
    <w:rsid w:val="006A7AFF"/>
    <w:rsid w:val="006B0571"/>
    <w:rsid w:val="006B1816"/>
    <w:rsid w:val="006B2099"/>
    <w:rsid w:val="006B217F"/>
    <w:rsid w:val="006B4459"/>
    <w:rsid w:val="006B50CF"/>
    <w:rsid w:val="006B5E1A"/>
    <w:rsid w:val="006B685B"/>
    <w:rsid w:val="006C03B8"/>
    <w:rsid w:val="006C5EC9"/>
    <w:rsid w:val="006C6059"/>
    <w:rsid w:val="006C6A99"/>
    <w:rsid w:val="006C7522"/>
    <w:rsid w:val="006D51E9"/>
    <w:rsid w:val="006D6A86"/>
    <w:rsid w:val="006D6F08"/>
    <w:rsid w:val="006E062C"/>
    <w:rsid w:val="006E07CD"/>
    <w:rsid w:val="006E1C82"/>
    <w:rsid w:val="006E2278"/>
    <w:rsid w:val="006E28B7"/>
    <w:rsid w:val="006E2A9B"/>
    <w:rsid w:val="006E3310"/>
    <w:rsid w:val="006E4E39"/>
    <w:rsid w:val="006E565E"/>
    <w:rsid w:val="006E673D"/>
    <w:rsid w:val="006E7C58"/>
    <w:rsid w:val="006E7D3B"/>
    <w:rsid w:val="006F1B70"/>
    <w:rsid w:val="006F341D"/>
    <w:rsid w:val="006F3CDE"/>
    <w:rsid w:val="006F3D97"/>
    <w:rsid w:val="006F58D4"/>
    <w:rsid w:val="006F6582"/>
    <w:rsid w:val="0070346E"/>
    <w:rsid w:val="00704501"/>
    <w:rsid w:val="00704EDB"/>
    <w:rsid w:val="00705A52"/>
    <w:rsid w:val="00706101"/>
    <w:rsid w:val="00707072"/>
    <w:rsid w:val="00707D61"/>
    <w:rsid w:val="00710F72"/>
    <w:rsid w:val="00712287"/>
    <w:rsid w:val="00712772"/>
    <w:rsid w:val="0071380B"/>
    <w:rsid w:val="007148D3"/>
    <w:rsid w:val="00715B9A"/>
    <w:rsid w:val="007160C2"/>
    <w:rsid w:val="00716B90"/>
    <w:rsid w:val="00723537"/>
    <w:rsid w:val="0072443B"/>
    <w:rsid w:val="007257D0"/>
    <w:rsid w:val="00726EA6"/>
    <w:rsid w:val="00727208"/>
    <w:rsid w:val="00727680"/>
    <w:rsid w:val="007348B1"/>
    <w:rsid w:val="007362A6"/>
    <w:rsid w:val="00736D7D"/>
    <w:rsid w:val="00740E58"/>
    <w:rsid w:val="0074358A"/>
    <w:rsid w:val="007445A0"/>
    <w:rsid w:val="0074524B"/>
    <w:rsid w:val="00747D8B"/>
    <w:rsid w:val="00751228"/>
    <w:rsid w:val="00756806"/>
    <w:rsid w:val="007571E1"/>
    <w:rsid w:val="0076015A"/>
    <w:rsid w:val="007604B2"/>
    <w:rsid w:val="007629B9"/>
    <w:rsid w:val="00765281"/>
    <w:rsid w:val="00766BAD"/>
    <w:rsid w:val="00772219"/>
    <w:rsid w:val="007729A2"/>
    <w:rsid w:val="00772FAE"/>
    <w:rsid w:val="007755F2"/>
    <w:rsid w:val="00776971"/>
    <w:rsid w:val="00780A80"/>
    <w:rsid w:val="00781369"/>
    <w:rsid w:val="0078177E"/>
    <w:rsid w:val="0078304C"/>
    <w:rsid w:val="00783673"/>
    <w:rsid w:val="00783E5B"/>
    <w:rsid w:val="007844AC"/>
    <w:rsid w:val="00785490"/>
    <w:rsid w:val="0079098E"/>
    <w:rsid w:val="007925EA"/>
    <w:rsid w:val="00792B8D"/>
    <w:rsid w:val="00793CD8"/>
    <w:rsid w:val="00795C92"/>
    <w:rsid w:val="00796148"/>
    <w:rsid w:val="00796231"/>
    <w:rsid w:val="007A1CB3"/>
    <w:rsid w:val="007A306F"/>
    <w:rsid w:val="007A43A6"/>
    <w:rsid w:val="007A58A6"/>
    <w:rsid w:val="007A6349"/>
    <w:rsid w:val="007B2C19"/>
    <w:rsid w:val="007B3D2D"/>
    <w:rsid w:val="007B4C12"/>
    <w:rsid w:val="007B50AE"/>
    <w:rsid w:val="007B51DF"/>
    <w:rsid w:val="007B5C64"/>
    <w:rsid w:val="007C05DD"/>
    <w:rsid w:val="007C3349"/>
    <w:rsid w:val="007C3D18"/>
    <w:rsid w:val="007C60BF"/>
    <w:rsid w:val="007C6A07"/>
    <w:rsid w:val="007C75A1"/>
    <w:rsid w:val="007C77A5"/>
    <w:rsid w:val="007D04E5"/>
    <w:rsid w:val="007D5901"/>
    <w:rsid w:val="007D7526"/>
    <w:rsid w:val="007D7C1A"/>
    <w:rsid w:val="007E4610"/>
    <w:rsid w:val="007E4715"/>
    <w:rsid w:val="007E505B"/>
    <w:rsid w:val="007E7091"/>
    <w:rsid w:val="007E72A0"/>
    <w:rsid w:val="007F1E7B"/>
    <w:rsid w:val="007F2276"/>
    <w:rsid w:val="007F7269"/>
    <w:rsid w:val="00800840"/>
    <w:rsid w:val="008034CA"/>
    <w:rsid w:val="00803FAE"/>
    <w:rsid w:val="0080444C"/>
    <w:rsid w:val="008050EB"/>
    <w:rsid w:val="00805C7F"/>
    <w:rsid w:val="0080605F"/>
    <w:rsid w:val="00807786"/>
    <w:rsid w:val="00810345"/>
    <w:rsid w:val="00810F9E"/>
    <w:rsid w:val="0081173A"/>
    <w:rsid w:val="00811FCB"/>
    <w:rsid w:val="008158D6"/>
    <w:rsid w:val="00817196"/>
    <w:rsid w:val="008235DB"/>
    <w:rsid w:val="00824AB4"/>
    <w:rsid w:val="00824B17"/>
    <w:rsid w:val="00825A16"/>
    <w:rsid w:val="00825C42"/>
    <w:rsid w:val="00825D25"/>
    <w:rsid w:val="00827464"/>
    <w:rsid w:val="00827D6F"/>
    <w:rsid w:val="0083083B"/>
    <w:rsid w:val="00831906"/>
    <w:rsid w:val="00835FE0"/>
    <w:rsid w:val="008371B3"/>
    <w:rsid w:val="008376AC"/>
    <w:rsid w:val="00840604"/>
    <w:rsid w:val="008444E8"/>
    <w:rsid w:val="00844E80"/>
    <w:rsid w:val="00846FE7"/>
    <w:rsid w:val="008513B6"/>
    <w:rsid w:val="008520E9"/>
    <w:rsid w:val="00854EFB"/>
    <w:rsid w:val="00855DA5"/>
    <w:rsid w:val="00855DDB"/>
    <w:rsid w:val="00856911"/>
    <w:rsid w:val="008619C9"/>
    <w:rsid w:val="008676AD"/>
    <w:rsid w:val="008677FD"/>
    <w:rsid w:val="008706D4"/>
    <w:rsid w:val="00870F8A"/>
    <w:rsid w:val="008719A4"/>
    <w:rsid w:val="00871D23"/>
    <w:rsid w:val="00872CF3"/>
    <w:rsid w:val="00874312"/>
    <w:rsid w:val="0087437C"/>
    <w:rsid w:val="00875581"/>
    <w:rsid w:val="00875CD7"/>
    <w:rsid w:val="00875D4F"/>
    <w:rsid w:val="0087655D"/>
    <w:rsid w:val="00876B4D"/>
    <w:rsid w:val="00877F18"/>
    <w:rsid w:val="00883FF6"/>
    <w:rsid w:val="00884692"/>
    <w:rsid w:val="008858D9"/>
    <w:rsid w:val="00890F6A"/>
    <w:rsid w:val="00891662"/>
    <w:rsid w:val="008941E3"/>
    <w:rsid w:val="00894A88"/>
    <w:rsid w:val="00895386"/>
    <w:rsid w:val="0089587D"/>
    <w:rsid w:val="00895DA9"/>
    <w:rsid w:val="008A0FC0"/>
    <w:rsid w:val="008A1620"/>
    <w:rsid w:val="008A21FF"/>
    <w:rsid w:val="008A2CE2"/>
    <w:rsid w:val="008A2F1D"/>
    <w:rsid w:val="008A30AC"/>
    <w:rsid w:val="008A44B8"/>
    <w:rsid w:val="008A4B41"/>
    <w:rsid w:val="008A51A8"/>
    <w:rsid w:val="008A54C7"/>
    <w:rsid w:val="008A77D8"/>
    <w:rsid w:val="008B010A"/>
    <w:rsid w:val="008B0483"/>
    <w:rsid w:val="008B120C"/>
    <w:rsid w:val="008B507A"/>
    <w:rsid w:val="008B51A0"/>
    <w:rsid w:val="008B592A"/>
    <w:rsid w:val="008B78B7"/>
    <w:rsid w:val="008B7B5C"/>
    <w:rsid w:val="008C02B3"/>
    <w:rsid w:val="008C0C99"/>
    <w:rsid w:val="008C1089"/>
    <w:rsid w:val="008C1176"/>
    <w:rsid w:val="008C2017"/>
    <w:rsid w:val="008C2C99"/>
    <w:rsid w:val="008C42D7"/>
    <w:rsid w:val="008C4958"/>
    <w:rsid w:val="008C4BAA"/>
    <w:rsid w:val="008C5760"/>
    <w:rsid w:val="008C6AE8"/>
    <w:rsid w:val="008C6CE3"/>
    <w:rsid w:val="008C7573"/>
    <w:rsid w:val="008D00A5"/>
    <w:rsid w:val="008D0CBC"/>
    <w:rsid w:val="008D1F27"/>
    <w:rsid w:val="008D31D3"/>
    <w:rsid w:val="008D34F1"/>
    <w:rsid w:val="008D39D8"/>
    <w:rsid w:val="008D6D1A"/>
    <w:rsid w:val="008D7FB8"/>
    <w:rsid w:val="008E065E"/>
    <w:rsid w:val="008E0927"/>
    <w:rsid w:val="008E15BB"/>
    <w:rsid w:val="008E1909"/>
    <w:rsid w:val="008E6303"/>
    <w:rsid w:val="008E6D92"/>
    <w:rsid w:val="008F044F"/>
    <w:rsid w:val="008F1EAB"/>
    <w:rsid w:val="008F25CB"/>
    <w:rsid w:val="008F33DC"/>
    <w:rsid w:val="008F40BA"/>
    <w:rsid w:val="008F477F"/>
    <w:rsid w:val="008F4DC2"/>
    <w:rsid w:val="00902350"/>
    <w:rsid w:val="0090336B"/>
    <w:rsid w:val="00903AC1"/>
    <w:rsid w:val="0090482A"/>
    <w:rsid w:val="009053AA"/>
    <w:rsid w:val="00906939"/>
    <w:rsid w:val="00910B7D"/>
    <w:rsid w:val="00911DFB"/>
    <w:rsid w:val="009139D9"/>
    <w:rsid w:val="00914577"/>
    <w:rsid w:val="00914AD8"/>
    <w:rsid w:val="00916079"/>
    <w:rsid w:val="00917CE9"/>
    <w:rsid w:val="00920BF2"/>
    <w:rsid w:val="00922010"/>
    <w:rsid w:val="00925ECE"/>
    <w:rsid w:val="00931BD9"/>
    <w:rsid w:val="009364A6"/>
    <w:rsid w:val="009368F3"/>
    <w:rsid w:val="00937D23"/>
    <w:rsid w:val="009409AD"/>
    <w:rsid w:val="00941636"/>
    <w:rsid w:val="00942A11"/>
    <w:rsid w:val="00943742"/>
    <w:rsid w:val="009439AA"/>
    <w:rsid w:val="00945C05"/>
    <w:rsid w:val="00946945"/>
    <w:rsid w:val="00947713"/>
    <w:rsid w:val="00950DE7"/>
    <w:rsid w:val="00952C33"/>
    <w:rsid w:val="00953920"/>
    <w:rsid w:val="00953D47"/>
    <w:rsid w:val="00955B1C"/>
    <w:rsid w:val="009565A1"/>
    <w:rsid w:val="00956796"/>
    <w:rsid w:val="0095681E"/>
    <w:rsid w:val="009572D4"/>
    <w:rsid w:val="009574E6"/>
    <w:rsid w:val="00961921"/>
    <w:rsid w:val="0096244B"/>
    <w:rsid w:val="00963DC5"/>
    <w:rsid w:val="0096430A"/>
    <w:rsid w:val="00965055"/>
    <w:rsid w:val="0096554B"/>
    <w:rsid w:val="0096584A"/>
    <w:rsid w:val="009707E9"/>
    <w:rsid w:val="00971EC1"/>
    <w:rsid w:val="00971F08"/>
    <w:rsid w:val="00971FEC"/>
    <w:rsid w:val="00972EE2"/>
    <w:rsid w:val="0097603D"/>
    <w:rsid w:val="00976949"/>
    <w:rsid w:val="00980477"/>
    <w:rsid w:val="00980BC6"/>
    <w:rsid w:val="009826C7"/>
    <w:rsid w:val="00982C4F"/>
    <w:rsid w:val="00985253"/>
    <w:rsid w:val="009853B3"/>
    <w:rsid w:val="00987313"/>
    <w:rsid w:val="0098796D"/>
    <w:rsid w:val="00990630"/>
    <w:rsid w:val="00991761"/>
    <w:rsid w:val="0099351B"/>
    <w:rsid w:val="0099468A"/>
    <w:rsid w:val="00994DCA"/>
    <w:rsid w:val="009960EC"/>
    <w:rsid w:val="009970DD"/>
    <w:rsid w:val="009A08E1"/>
    <w:rsid w:val="009A0FBA"/>
    <w:rsid w:val="009A1601"/>
    <w:rsid w:val="009A1DED"/>
    <w:rsid w:val="009A3BB6"/>
    <w:rsid w:val="009A462D"/>
    <w:rsid w:val="009A5CBA"/>
    <w:rsid w:val="009B1F30"/>
    <w:rsid w:val="009B3AC2"/>
    <w:rsid w:val="009B4DF4"/>
    <w:rsid w:val="009B564E"/>
    <w:rsid w:val="009B7E87"/>
    <w:rsid w:val="009C0169"/>
    <w:rsid w:val="009C403E"/>
    <w:rsid w:val="009C4A24"/>
    <w:rsid w:val="009D4FF0"/>
    <w:rsid w:val="009D52C2"/>
    <w:rsid w:val="009D703C"/>
    <w:rsid w:val="009D718F"/>
    <w:rsid w:val="009E068F"/>
    <w:rsid w:val="009E14E0"/>
    <w:rsid w:val="009E15FB"/>
    <w:rsid w:val="009E35DB"/>
    <w:rsid w:val="009E47A3"/>
    <w:rsid w:val="009E54D7"/>
    <w:rsid w:val="009F0157"/>
    <w:rsid w:val="009F058D"/>
    <w:rsid w:val="009F08F3"/>
    <w:rsid w:val="009F13F9"/>
    <w:rsid w:val="009F1D1D"/>
    <w:rsid w:val="009F344F"/>
    <w:rsid w:val="009F5F5B"/>
    <w:rsid w:val="00A031D8"/>
    <w:rsid w:val="00A048A8"/>
    <w:rsid w:val="00A04F49"/>
    <w:rsid w:val="00A13E54"/>
    <w:rsid w:val="00A14228"/>
    <w:rsid w:val="00A15781"/>
    <w:rsid w:val="00A17F63"/>
    <w:rsid w:val="00A2193B"/>
    <w:rsid w:val="00A2351A"/>
    <w:rsid w:val="00A23537"/>
    <w:rsid w:val="00A239B5"/>
    <w:rsid w:val="00A2433C"/>
    <w:rsid w:val="00A264A9"/>
    <w:rsid w:val="00A26DCF"/>
    <w:rsid w:val="00A27354"/>
    <w:rsid w:val="00A27785"/>
    <w:rsid w:val="00A30187"/>
    <w:rsid w:val="00A3448A"/>
    <w:rsid w:val="00A36297"/>
    <w:rsid w:val="00A41E2B"/>
    <w:rsid w:val="00A43249"/>
    <w:rsid w:val="00A437F6"/>
    <w:rsid w:val="00A43A53"/>
    <w:rsid w:val="00A45B74"/>
    <w:rsid w:val="00A46C42"/>
    <w:rsid w:val="00A50F6A"/>
    <w:rsid w:val="00A51124"/>
    <w:rsid w:val="00A5213C"/>
    <w:rsid w:val="00A52E1D"/>
    <w:rsid w:val="00A52F84"/>
    <w:rsid w:val="00A55108"/>
    <w:rsid w:val="00A55BEF"/>
    <w:rsid w:val="00A61499"/>
    <w:rsid w:val="00A62A77"/>
    <w:rsid w:val="00A63483"/>
    <w:rsid w:val="00A6414F"/>
    <w:rsid w:val="00A657D7"/>
    <w:rsid w:val="00A660AC"/>
    <w:rsid w:val="00A66A50"/>
    <w:rsid w:val="00A67E6C"/>
    <w:rsid w:val="00A71B99"/>
    <w:rsid w:val="00A72A07"/>
    <w:rsid w:val="00A739D0"/>
    <w:rsid w:val="00A75778"/>
    <w:rsid w:val="00A758C1"/>
    <w:rsid w:val="00A761D4"/>
    <w:rsid w:val="00A77EC4"/>
    <w:rsid w:val="00A808CB"/>
    <w:rsid w:val="00A86402"/>
    <w:rsid w:val="00A877CE"/>
    <w:rsid w:val="00A91FAC"/>
    <w:rsid w:val="00A92879"/>
    <w:rsid w:val="00A9442A"/>
    <w:rsid w:val="00A9604E"/>
    <w:rsid w:val="00AA016F"/>
    <w:rsid w:val="00AA12E6"/>
    <w:rsid w:val="00AA1ED6"/>
    <w:rsid w:val="00AA51D6"/>
    <w:rsid w:val="00AA5373"/>
    <w:rsid w:val="00AA7785"/>
    <w:rsid w:val="00AB0BC8"/>
    <w:rsid w:val="00AB11CA"/>
    <w:rsid w:val="00AB14D9"/>
    <w:rsid w:val="00AB3C19"/>
    <w:rsid w:val="00AB4AB8"/>
    <w:rsid w:val="00AB655E"/>
    <w:rsid w:val="00AC007F"/>
    <w:rsid w:val="00AC0F6A"/>
    <w:rsid w:val="00AC2B12"/>
    <w:rsid w:val="00AC2ECD"/>
    <w:rsid w:val="00AC3119"/>
    <w:rsid w:val="00AC49FB"/>
    <w:rsid w:val="00AC5A10"/>
    <w:rsid w:val="00AD0222"/>
    <w:rsid w:val="00AD0AA3"/>
    <w:rsid w:val="00AD3F94"/>
    <w:rsid w:val="00AD4A5A"/>
    <w:rsid w:val="00AD6825"/>
    <w:rsid w:val="00AD6B12"/>
    <w:rsid w:val="00AE1442"/>
    <w:rsid w:val="00AE27AC"/>
    <w:rsid w:val="00AE2AC7"/>
    <w:rsid w:val="00AE40E0"/>
    <w:rsid w:val="00AE4DBA"/>
    <w:rsid w:val="00AE4F07"/>
    <w:rsid w:val="00AE5BBE"/>
    <w:rsid w:val="00AE6F8F"/>
    <w:rsid w:val="00AF1C5D"/>
    <w:rsid w:val="00AF2367"/>
    <w:rsid w:val="00AF3FEE"/>
    <w:rsid w:val="00AF42D7"/>
    <w:rsid w:val="00AF5D2F"/>
    <w:rsid w:val="00B00439"/>
    <w:rsid w:val="00B006FE"/>
    <w:rsid w:val="00B007CB"/>
    <w:rsid w:val="00B02AA9"/>
    <w:rsid w:val="00B02FA3"/>
    <w:rsid w:val="00B05084"/>
    <w:rsid w:val="00B1021E"/>
    <w:rsid w:val="00B11300"/>
    <w:rsid w:val="00B11A48"/>
    <w:rsid w:val="00B123C2"/>
    <w:rsid w:val="00B157F9"/>
    <w:rsid w:val="00B160A3"/>
    <w:rsid w:val="00B20256"/>
    <w:rsid w:val="00B20D09"/>
    <w:rsid w:val="00B21034"/>
    <w:rsid w:val="00B22DCF"/>
    <w:rsid w:val="00B25A15"/>
    <w:rsid w:val="00B275C8"/>
    <w:rsid w:val="00B2763F"/>
    <w:rsid w:val="00B27AAC"/>
    <w:rsid w:val="00B30139"/>
    <w:rsid w:val="00B3091E"/>
    <w:rsid w:val="00B30929"/>
    <w:rsid w:val="00B31F2D"/>
    <w:rsid w:val="00B338ED"/>
    <w:rsid w:val="00B36A53"/>
    <w:rsid w:val="00B37029"/>
    <w:rsid w:val="00B37060"/>
    <w:rsid w:val="00B372AA"/>
    <w:rsid w:val="00B40445"/>
    <w:rsid w:val="00B409E0"/>
    <w:rsid w:val="00B41265"/>
    <w:rsid w:val="00B41888"/>
    <w:rsid w:val="00B45A52"/>
    <w:rsid w:val="00B46175"/>
    <w:rsid w:val="00B47A3E"/>
    <w:rsid w:val="00B548B7"/>
    <w:rsid w:val="00B56BD9"/>
    <w:rsid w:val="00B576BF"/>
    <w:rsid w:val="00B61E2D"/>
    <w:rsid w:val="00B62E51"/>
    <w:rsid w:val="00B659CD"/>
    <w:rsid w:val="00B664C7"/>
    <w:rsid w:val="00B739F6"/>
    <w:rsid w:val="00B81A6C"/>
    <w:rsid w:val="00B825AF"/>
    <w:rsid w:val="00B83228"/>
    <w:rsid w:val="00B8340C"/>
    <w:rsid w:val="00B85DE5"/>
    <w:rsid w:val="00B86C1A"/>
    <w:rsid w:val="00B9000E"/>
    <w:rsid w:val="00B90F73"/>
    <w:rsid w:val="00B91045"/>
    <w:rsid w:val="00B928C7"/>
    <w:rsid w:val="00B93B59"/>
    <w:rsid w:val="00B9406A"/>
    <w:rsid w:val="00B96EA9"/>
    <w:rsid w:val="00B97AA5"/>
    <w:rsid w:val="00BA2280"/>
    <w:rsid w:val="00BA2A08"/>
    <w:rsid w:val="00BA4B1C"/>
    <w:rsid w:val="00BA56D2"/>
    <w:rsid w:val="00BA5C2E"/>
    <w:rsid w:val="00BA5D74"/>
    <w:rsid w:val="00BA76E0"/>
    <w:rsid w:val="00BB2A25"/>
    <w:rsid w:val="00BB3D48"/>
    <w:rsid w:val="00BB433F"/>
    <w:rsid w:val="00BB51E9"/>
    <w:rsid w:val="00BB6C99"/>
    <w:rsid w:val="00BC0FDC"/>
    <w:rsid w:val="00BC3053"/>
    <w:rsid w:val="00BC36FA"/>
    <w:rsid w:val="00BC4D2E"/>
    <w:rsid w:val="00BC53B5"/>
    <w:rsid w:val="00BD0D06"/>
    <w:rsid w:val="00BD48AC"/>
    <w:rsid w:val="00BD5758"/>
    <w:rsid w:val="00BD5F1A"/>
    <w:rsid w:val="00BE1234"/>
    <w:rsid w:val="00BE2FA6"/>
    <w:rsid w:val="00BE333F"/>
    <w:rsid w:val="00BE7406"/>
    <w:rsid w:val="00BE7603"/>
    <w:rsid w:val="00BF2E33"/>
    <w:rsid w:val="00BF3279"/>
    <w:rsid w:val="00BF3AC1"/>
    <w:rsid w:val="00BF3FBF"/>
    <w:rsid w:val="00BF74C7"/>
    <w:rsid w:val="00BF78BC"/>
    <w:rsid w:val="00C015F1"/>
    <w:rsid w:val="00C01924"/>
    <w:rsid w:val="00C01F33"/>
    <w:rsid w:val="00C02CC6"/>
    <w:rsid w:val="00C040F7"/>
    <w:rsid w:val="00C044AB"/>
    <w:rsid w:val="00C045F3"/>
    <w:rsid w:val="00C05706"/>
    <w:rsid w:val="00C07377"/>
    <w:rsid w:val="00C10478"/>
    <w:rsid w:val="00C12107"/>
    <w:rsid w:val="00C14350"/>
    <w:rsid w:val="00C14D4B"/>
    <w:rsid w:val="00C154BB"/>
    <w:rsid w:val="00C279B5"/>
    <w:rsid w:val="00C27C45"/>
    <w:rsid w:val="00C35389"/>
    <w:rsid w:val="00C359F1"/>
    <w:rsid w:val="00C3719D"/>
    <w:rsid w:val="00C37CB2"/>
    <w:rsid w:val="00C44F12"/>
    <w:rsid w:val="00C458E3"/>
    <w:rsid w:val="00C473A5"/>
    <w:rsid w:val="00C51CD8"/>
    <w:rsid w:val="00C51F77"/>
    <w:rsid w:val="00C54995"/>
    <w:rsid w:val="00C54D41"/>
    <w:rsid w:val="00C55CDC"/>
    <w:rsid w:val="00C60783"/>
    <w:rsid w:val="00C6095C"/>
    <w:rsid w:val="00C61F3A"/>
    <w:rsid w:val="00C6371A"/>
    <w:rsid w:val="00C64672"/>
    <w:rsid w:val="00C653ED"/>
    <w:rsid w:val="00C701FF"/>
    <w:rsid w:val="00C70697"/>
    <w:rsid w:val="00C72093"/>
    <w:rsid w:val="00C72EF4"/>
    <w:rsid w:val="00C7404A"/>
    <w:rsid w:val="00C744FE"/>
    <w:rsid w:val="00C747C0"/>
    <w:rsid w:val="00C75D2F"/>
    <w:rsid w:val="00C767BE"/>
    <w:rsid w:val="00C76E3C"/>
    <w:rsid w:val="00C7709E"/>
    <w:rsid w:val="00C81568"/>
    <w:rsid w:val="00C83DC2"/>
    <w:rsid w:val="00C85D59"/>
    <w:rsid w:val="00C9027A"/>
    <w:rsid w:val="00C9068E"/>
    <w:rsid w:val="00C917E5"/>
    <w:rsid w:val="00C93814"/>
    <w:rsid w:val="00C93C4B"/>
    <w:rsid w:val="00C944AB"/>
    <w:rsid w:val="00C945EA"/>
    <w:rsid w:val="00C95560"/>
    <w:rsid w:val="00C95B40"/>
    <w:rsid w:val="00C9704F"/>
    <w:rsid w:val="00CA1ED8"/>
    <w:rsid w:val="00CA7348"/>
    <w:rsid w:val="00CB1F63"/>
    <w:rsid w:val="00CB7170"/>
    <w:rsid w:val="00CC040E"/>
    <w:rsid w:val="00CC111F"/>
    <w:rsid w:val="00CC2011"/>
    <w:rsid w:val="00CC284E"/>
    <w:rsid w:val="00CC3399"/>
    <w:rsid w:val="00CC3AC6"/>
    <w:rsid w:val="00CC3EA0"/>
    <w:rsid w:val="00CC7181"/>
    <w:rsid w:val="00CC7B45"/>
    <w:rsid w:val="00CD1188"/>
    <w:rsid w:val="00CD26C0"/>
    <w:rsid w:val="00CD2DA8"/>
    <w:rsid w:val="00CD2ED1"/>
    <w:rsid w:val="00CD337B"/>
    <w:rsid w:val="00CD3D1D"/>
    <w:rsid w:val="00CD4380"/>
    <w:rsid w:val="00CD5293"/>
    <w:rsid w:val="00CD7CF5"/>
    <w:rsid w:val="00CE0424"/>
    <w:rsid w:val="00CE7561"/>
    <w:rsid w:val="00CF086E"/>
    <w:rsid w:val="00CF0DBF"/>
    <w:rsid w:val="00CF1157"/>
    <w:rsid w:val="00CF1354"/>
    <w:rsid w:val="00CF3B1F"/>
    <w:rsid w:val="00CF3BF6"/>
    <w:rsid w:val="00CF625B"/>
    <w:rsid w:val="00CF687E"/>
    <w:rsid w:val="00CF6F6E"/>
    <w:rsid w:val="00D015CD"/>
    <w:rsid w:val="00D0245F"/>
    <w:rsid w:val="00D02DFA"/>
    <w:rsid w:val="00D0349B"/>
    <w:rsid w:val="00D047E3"/>
    <w:rsid w:val="00D04C37"/>
    <w:rsid w:val="00D10249"/>
    <w:rsid w:val="00D115C3"/>
    <w:rsid w:val="00D11897"/>
    <w:rsid w:val="00D121A5"/>
    <w:rsid w:val="00D13135"/>
    <w:rsid w:val="00D13E4E"/>
    <w:rsid w:val="00D14445"/>
    <w:rsid w:val="00D14A6C"/>
    <w:rsid w:val="00D21473"/>
    <w:rsid w:val="00D239A7"/>
    <w:rsid w:val="00D23F47"/>
    <w:rsid w:val="00D27735"/>
    <w:rsid w:val="00D321D9"/>
    <w:rsid w:val="00D35A3F"/>
    <w:rsid w:val="00D36248"/>
    <w:rsid w:val="00D36E71"/>
    <w:rsid w:val="00D37D87"/>
    <w:rsid w:val="00D40B33"/>
    <w:rsid w:val="00D426D5"/>
    <w:rsid w:val="00D4318F"/>
    <w:rsid w:val="00D438BF"/>
    <w:rsid w:val="00D440F8"/>
    <w:rsid w:val="00D4413C"/>
    <w:rsid w:val="00D448A6"/>
    <w:rsid w:val="00D47E8A"/>
    <w:rsid w:val="00D5026B"/>
    <w:rsid w:val="00D51176"/>
    <w:rsid w:val="00D53E3F"/>
    <w:rsid w:val="00D546FF"/>
    <w:rsid w:val="00D549D2"/>
    <w:rsid w:val="00D55AD5"/>
    <w:rsid w:val="00D576CA"/>
    <w:rsid w:val="00D602BC"/>
    <w:rsid w:val="00D608BD"/>
    <w:rsid w:val="00D61AF5"/>
    <w:rsid w:val="00D63411"/>
    <w:rsid w:val="00D652B5"/>
    <w:rsid w:val="00D66155"/>
    <w:rsid w:val="00D708B0"/>
    <w:rsid w:val="00D7284D"/>
    <w:rsid w:val="00D771C6"/>
    <w:rsid w:val="00D77B1D"/>
    <w:rsid w:val="00D8021F"/>
    <w:rsid w:val="00D80383"/>
    <w:rsid w:val="00D82157"/>
    <w:rsid w:val="00D823C6"/>
    <w:rsid w:val="00D8327F"/>
    <w:rsid w:val="00D8510F"/>
    <w:rsid w:val="00D858D2"/>
    <w:rsid w:val="00D86CA3"/>
    <w:rsid w:val="00D871CE"/>
    <w:rsid w:val="00D9196D"/>
    <w:rsid w:val="00D92982"/>
    <w:rsid w:val="00D94915"/>
    <w:rsid w:val="00DA305E"/>
    <w:rsid w:val="00DA5417"/>
    <w:rsid w:val="00DA56E8"/>
    <w:rsid w:val="00DA664D"/>
    <w:rsid w:val="00DB0A9F"/>
    <w:rsid w:val="00DB0D4B"/>
    <w:rsid w:val="00DB377D"/>
    <w:rsid w:val="00DC2707"/>
    <w:rsid w:val="00DC2D36"/>
    <w:rsid w:val="00DC3155"/>
    <w:rsid w:val="00DC3FB4"/>
    <w:rsid w:val="00DC53EF"/>
    <w:rsid w:val="00DC6653"/>
    <w:rsid w:val="00DC6FEA"/>
    <w:rsid w:val="00DE20C8"/>
    <w:rsid w:val="00DE39E6"/>
    <w:rsid w:val="00DE3AE8"/>
    <w:rsid w:val="00DE5608"/>
    <w:rsid w:val="00DE58D0"/>
    <w:rsid w:val="00DE59CB"/>
    <w:rsid w:val="00DE654F"/>
    <w:rsid w:val="00DE6E09"/>
    <w:rsid w:val="00DF0B6E"/>
    <w:rsid w:val="00DF131D"/>
    <w:rsid w:val="00DF15E0"/>
    <w:rsid w:val="00DF2A44"/>
    <w:rsid w:val="00DF2BDB"/>
    <w:rsid w:val="00DF37A0"/>
    <w:rsid w:val="00DF3E62"/>
    <w:rsid w:val="00DF4DC6"/>
    <w:rsid w:val="00E01AD2"/>
    <w:rsid w:val="00E0575F"/>
    <w:rsid w:val="00E0625B"/>
    <w:rsid w:val="00E110E7"/>
    <w:rsid w:val="00E11B20"/>
    <w:rsid w:val="00E12A9A"/>
    <w:rsid w:val="00E1309A"/>
    <w:rsid w:val="00E14EF1"/>
    <w:rsid w:val="00E17FA2"/>
    <w:rsid w:val="00E2033F"/>
    <w:rsid w:val="00E22330"/>
    <w:rsid w:val="00E23A83"/>
    <w:rsid w:val="00E2560D"/>
    <w:rsid w:val="00E263E3"/>
    <w:rsid w:val="00E26441"/>
    <w:rsid w:val="00E2693E"/>
    <w:rsid w:val="00E30B5A"/>
    <w:rsid w:val="00E30FC6"/>
    <w:rsid w:val="00E3123D"/>
    <w:rsid w:val="00E31461"/>
    <w:rsid w:val="00E31D43"/>
    <w:rsid w:val="00E32608"/>
    <w:rsid w:val="00E3305C"/>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623E"/>
    <w:rsid w:val="00E5711B"/>
    <w:rsid w:val="00E57565"/>
    <w:rsid w:val="00E61933"/>
    <w:rsid w:val="00E63838"/>
    <w:rsid w:val="00E64434"/>
    <w:rsid w:val="00E648D3"/>
    <w:rsid w:val="00E67C51"/>
    <w:rsid w:val="00E72B2E"/>
    <w:rsid w:val="00E72EFC"/>
    <w:rsid w:val="00E758EC"/>
    <w:rsid w:val="00E815F6"/>
    <w:rsid w:val="00E8234C"/>
    <w:rsid w:val="00E83AA9"/>
    <w:rsid w:val="00E84077"/>
    <w:rsid w:val="00E8459A"/>
    <w:rsid w:val="00E85928"/>
    <w:rsid w:val="00E87822"/>
    <w:rsid w:val="00E90395"/>
    <w:rsid w:val="00E9041B"/>
    <w:rsid w:val="00E90899"/>
    <w:rsid w:val="00E90E49"/>
    <w:rsid w:val="00E917F9"/>
    <w:rsid w:val="00E9291C"/>
    <w:rsid w:val="00E93FFE"/>
    <w:rsid w:val="00E94F8A"/>
    <w:rsid w:val="00EA4540"/>
    <w:rsid w:val="00EA63EF"/>
    <w:rsid w:val="00EA7A41"/>
    <w:rsid w:val="00EB077B"/>
    <w:rsid w:val="00EB1DFF"/>
    <w:rsid w:val="00EB4EA2"/>
    <w:rsid w:val="00EB6D27"/>
    <w:rsid w:val="00EC1F84"/>
    <w:rsid w:val="00EC24D5"/>
    <w:rsid w:val="00EC27C6"/>
    <w:rsid w:val="00EC4207"/>
    <w:rsid w:val="00EC4ABD"/>
    <w:rsid w:val="00EC5653"/>
    <w:rsid w:val="00EC71CE"/>
    <w:rsid w:val="00EC7EFE"/>
    <w:rsid w:val="00ED1006"/>
    <w:rsid w:val="00ED37D7"/>
    <w:rsid w:val="00ED5C63"/>
    <w:rsid w:val="00ED71FE"/>
    <w:rsid w:val="00EE2A3D"/>
    <w:rsid w:val="00EE4853"/>
    <w:rsid w:val="00EE695B"/>
    <w:rsid w:val="00EF18FE"/>
    <w:rsid w:val="00EF5787"/>
    <w:rsid w:val="00EF60D0"/>
    <w:rsid w:val="00EF7FA9"/>
    <w:rsid w:val="00F01391"/>
    <w:rsid w:val="00F01712"/>
    <w:rsid w:val="00F02AD3"/>
    <w:rsid w:val="00F03B91"/>
    <w:rsid w:val="00F0528D"/>
    <w:rsid w:val="00F066ED"/>
    <w:rsid w:val="00F06C67"/>
    <w:rsid w:val="00F06DFD"/>
    <w:rsid w:val="00F071D1"/>
    <w:rsid w:val="00F07533"/>
    <w:rsid w:val="00F10629"/>
    <w:rsid w:val="00F122C2"/>
    <w:rsid w:val="00F14A0D"/>
    <w:rsid w:val="00F15FA5"/>
    <w:rsid w:val="00F209B7"/>
    <w:rsid w:val="00F22518"/>
    <w:rsid w:val="00F2376F"/>
    <w:rsid w:val="00F243D8"/>
    <w:rsid w:val="00F25ED2"/>
    <w:rsid w:val="00F30828"/>
    <w:rsid w:val="00F313D6"/>
    <w:rsid w:val="00F31BE1"/>
    <w:rsid w:val="00F361DD"/>
    <w:rsid w:val="00F40F0C"/>
    <w:rsid w:val="00F41323"/>
    <w:rsid w:val="00F414A1"/>
    <w:rsid w:val="00F4766C"/>
    <w:rsid w:val="00F5060E"/>
    <w:rsid w:val="00F507D1"/>
    <w:rsid w:val="00F519CE"/>
    <w:rsid w:val="00F51ADA"/>
    <w:rsid w:val="00F529AE"/>
    <w:rsid w:val="00F60203"/>
    <w:rsid w:val="00F607C5"/>
    <w:rsid w:val="00F60DEA"/>
    <w:rsid w:val="00F616B6"/>
    <w:rsid w:val="00F61B27"/>
    <w:rsid w:val="00F6302A"/>
    <w:rsid w:val="00F63950"/>
    <w:rsid w:val="00F64C2B"/>
    <w:rsid w:val="00F651BE"/>
    <w:rsid w:val="00F67F53"/>
    <w:rsid w:val="00F703BE"/>
    <w:rsid w:val="00F71F69"/>
    <w:rsid w:val="00F72B72"/>
    <w:rsid w:val="00F74BB9"/>
    <w:rsid w:val="00F75582"/>
    <w:rsid w:val="00F768D3"/>
    <w:rsid w:val="00F76EFA"/>
    <w:rsid w:val="00F804BE"/>
    <w:rsid w:val="00F817CE"/>
    <w:rsid w:val="00F84214"/>
    <w:rsid w:val="00F8456C"/>
    <w:rsid w:val="00F859D8"/>
    <w:rsid w:val="00F868F5"/>
    <w:rsid w:val="00F87637"/>
    <w:rsid w:val="00F9056A"/>
    <w:rsid w:val="00F90F8D"/>
    <w:rsid w:val="00F92782"/>
    <w:rsid w:val="00F93AA9"/>
    <w:rsid w:val="00F96985"/>
    <w:rsid w:val="00F97838"/>
    <w:rsid w:val="00FA26A4"/>
    <w:rsid w:val="00FA2BB3"/>
    <w:rsid w:val="00FA7118"/>
    <w:rsid w:val="00FA7B6F"/>
    <w:rsid w:val="00FA7E65"/>
    <w:rsid w:val="00FB0575"/>
    <w:rsid w:val="00FB104F"/>
    <w:rsid w:val="00FB44FA"/>
    <w:rsid w:val="00FB4C80"/>
    <w:rsid w:val="00FB6A6A"/>
    <w:rsid w:val="00FC0FDB"/>
    <w:rsid w:val="00FC1E5B"/>
    <w:rsid w:val="00FC586C"/>
    <w:rsid w:val="00FC60AF"/>
    <w:rsid w:val="00FC7429"/>
    <w:rsid w:val="00FC7D3D"/>
    <w:rsid w:val="00FC7F9F"/>
    <w:rsid w:val="00FD07F6"/>
    <w:rsid w:val="00FD0E38"/>
    <w:rsid w:val="00FD1EC8"/>
    <w:rsid w:val="00FD201A"/>
    <w:rsid w:val="00FD47ED"/>
    <w:rsid w:val="00FD4B57"/>
    <w:rsid w:val="00FD74DB"/>
    <w:rsid w:val="00FD7660"/>
    <w:rsid w:val="00FE0655"/>
    <w:rsid w:val="00FE2365"/>
    <w:rsid w:val="00FE37D7"/>
    <w:rsid w:val="00FE4C7B"/>
    <w:rsid w:val="00FE6AB8"/>
    <w:rsid w:val="00FE7336"/>
    <w:rsid w:val="00FE787C"/>
    <w:rsid w:val="00FE78DE"/>
    <w:rsid w:val="00FF01F9"/>
    <w:rsid w:val="00FF3334"/>
    <w:rsid w:val="00FF45A5"/>
    <w:rsid w:val="00FF4BE8"/>
    <w:rsid w:val="00FF5AA5"/>
    <w:rsid w:val="00FF5C91"/>
    <w:rsid w:val="00FF7092"/>
    <w:rsid w:val="00FF74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DFE6731C-3CF8-4EB9-8D3A-09AE6080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table" w:styleId="GridTable4-Accent1">
    <w:name w:val="Grid Table 4 Accent 1"/>
    <w:basedOn w:val="TableNormal"/>
    <w:uiPriority w:val="49"/>
    <w:rsid w:val="00A72A07"/>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A72A0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416176708">
      <w:bodyDiv w:val="1"/>
      <w:marLeft w:val="0"/>
      <w:marRight w:val="0"/>
      <w:marTop w:val="0"/>
      <w:marBottom w:val="0"/>
      <w:divBdr>
        <w:top w:val="none" w:sz="0" w:space="0" w:color="auto"/>
        <w:left w:val="none" w:sz="0" w:space="0" w:color="auto"/>
        <w:bottom w:val="none" w:sz="0" w:space="0" w:color="auto"/>
        <w:right w:val="none" w:sz="0" w:space="0" w:color="auto"/>
      </w:divBdr>
    </w:div>
    <w:div w:id="144160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29/Docs/%0dR2-2500228.zip" TargetMode="External"/><Relationship Id="rId18" Type="http://schemas.openxmlformats.org/officeDocument/2006/relationships/hyperlink" Target="http://www.3gpp.org/ftp//tsg_ran/WG2_RL2/TSGR2_129/Docs/%0dR2-2500728.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3gpp.org/ftp//tsg_ran/WG2_RL2/TSGR2_129/Docs/%0dR2-2500988.zip" TargetMode="External"/><Relationship Id="rId7" Type="http://schemas.openxmlformats.org/officeDocument/2006/relationships/settings" Target="settings.xml"/><Relationship Id="rId12" Type="http://schemas.openxmlformats.org/officeDocument/2006/relationships/hyperlink" Target="http://www.3gpp.org/ftp//tsg_ran/WG2_RL2/TSGR2_129/Docs/%0dR2-2500173.zip" TargetMode="External"/><Relationship Id="rId17" Type="http://schemas.openxmlformats.org/officeDocument/2006/relationships/hyperlink" Target="http://www.3gpp.org/ftp//tsg_ran/WG2_RL2/TSGR2_129/Docs/%0dR2-2500540.zip" TargetMode="External"/><Relationship Id="rId25" Type="http://schemas.openxmlformats.org/officeDocument/2006/relationships/hyperlink" Target="http://www.3gpp.org/ftp//tsg_ran/WG2_RL2/TSGR2_129/Docs/%0dR2-2501295.zip" TargetMode="External"/><Relationship Id="rId2" Type="http://schemas.openxmlformats.org/officeDocument/2006/relationships/customXml" Target="../customXml/item2.xml"/><Relationship Id="rId16" Type="http://schemas.openxmlformats.org/officeDocument/2006/relationships/hyperlink" Target="http://www.3gpp.org/ftp//tsg_ran/WG2_RL2/TSGR2_129/Docs/%0dR2-2500374.zip" TargetMode="External"/><Relationship Id="rId20" Type="http://schemas.openxmlformats.org/officeDocument/2006/relationships/hyperlink" Target="http://www.3gpp.org/ftp//tsg_ran/WG2_RL2/TSGR2_129/Docs/%0dR2-2500963.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29/Docs/%0dR2-2500151.zip" TargetMode="External"/><Relationship Id="rId24" Type="http://schemas.openxmlformats.org/officeDocument/2006/relationships/hyperlink" Target="http://www.3gpp.org/ftp//tsg_ran/WG2_RL2/TSGR2_129/Docs/%0dR2-2501294.zip" TargetMode="External"/><Relationship Id="rId5" Type="http://schemas.openxmlformats.org/officeDocument/2006/relationships/numbering" Target="numbering.xml"/><Relationship Id="rId15" Type="http://schemas.openxmlformats.org/officeDocument/2006/relationships/hyperlink" Target="http://www.3gpp.org/ftp//tsg_ran/WG2_RL2/TSGR2_129/Docs/%0dR2-2500356.zip" TargetMode="External"/><Relationship Id="rId23" Type="http://schemas.openxmlformats.org/officeDocument/2006/relationships/hyperlink" Target="http://www.3gpp.org/ftp//tsg_ran/WG2_RL2/TSGR2_129/Docs/%0dR2-2501196.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2_RL2/TSGR2_129/Docs/%0dR2-25009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9/Docs/%0dR2-2500333.zip" TargetMode="External"/><Relationship Id="rId22" Type="http://schemas.openxmlformats.org/officeDocument/2006/relationships/hyperlink" Target="http://www.3gpp.org/ftp//tsg_ran/WG2_RL2/TSGR2_129/Docs/%0dR2-2500989.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2384</TotalTime>
  <Pages>1</Pages>
  <Words>3965</Words>
  <Characters>22606</Characters>
  <Application>Microsoft Office Word</Application>
  <DocSecurity>4</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26518</CharactersWithSpaces>
  <SharedDoc>false</SharedDoc>
  <HyperlinkBase/>
  <HLinks>
    <vt:vector size="240" baseType="variant">
      <vt:variant>
        <vt:i4>1900595</vt:i4>
      </vt:variant>
      <vt:variant>
        <vt:i4>119</vt:i4>
      </vt:variant>
      <vt:variant>
        <vt:i4>0</vt:i4>
      </vt:variant>
      <vt:variant>
        <vt:i4>5</vt:i4>
      </vt:variant>
      <vt:variant>
        <vt:lpwstr/>
      </vt:variant>
      <vt:variant>
        <vt:lpwstr>_Toc190101231</vt:lpwstr>
      </vt:variant>
      <vt:variant>
        <vt:i4>1900595</vt:i4>
      </vt:variant>
      <vt:variant>
        <vt:i4>116</vt:i4>
      </vt:variant>
      <vt:variant>
        <vt:i4>0</vt:i4>
      </vt:variant>
      <vt:variant>
        <vt:i4>5</vt:i4>
      </vt:variant>
      <vt:variant>
        <vt:lpwstr/>
      </vt:variant>
      <vt:variant>
        <vt:lpwstr>_Toc190101230</vt:lpwstr>
      </vt:variant>
      <vt:variant>
        <vt:i4>1835059</vt:i4>
      </vt:variant>
      <vt:variant>
        <vt:i4>113</vt:i4>
      </vt:variant>
      <vt:variant>
        <vt:i4>0</vt:i4>
      </vt:variant>
      <vt:variant>
        <vt:i4>5</vt:i4>
      </vt:variant>
      <vt:variant>
        <vt:lpwstr/>
      </vt:variant>
      <vt:variant>
        <vt:lpwstr>_Toc190101229</vt:lpwstr>
      </vt:variant>
      <vt:variant>
        <vt:i4>1835059</vt:i4>
      </vt:variant>
      <vt:variant>
        <vt:i4>110</vt:i4>
      </vt:variant>
      <vt:variant>
        <vt:i4>0</vt:i4>
      </vt:variant>
      <vt:variant>
        <vt:i4>5</vt:i4>
      </vt:variant>
      <vt:variant>
        <vt:lpwstr/>
      </vt:variant>
      <vt:variant>
        <vt:lpwstr>_Toc190101228</vt:lpwstr>
      </vt:variant>
      <vt:variant>
        <vt:i4>1835059</vt:i4>
      </vt:variant>
      <vt:variant>
        <vt:i4>107</vt:i4>
      </vt:variant>
      <vt:variant>
        <vt:i4>0</vt:i4>
      </vt:variant>
      <vt:variant>
        <vt:i4>5</vt:i4>
      </vt:variant>
      <vt:variant>
        <vt:lpwstr/>
      </vt:variant>
      <vt:variant>
        <vt:lpwstr>_Toc190101227</vt:lpwstr>
      </vt:variant>
      <vt:variant>
        <vt:i4>1835059</vt:i4>
      </vt:variant>
      <vt:variant>
        <vt:i4>104</vt:i4>
      </vt:variant>
      <vt:variant>
        <vt:i4>0</vt:i4>
      </vt:variant>
      <vt:variant>
        <vt:i4>5</vt:i4>
      </vt:variant>
      <vt:variant>
        <vt:lpwstr/>
      </vt:variant>
      <vt:variant>
        <vt:lpwstr>_Toc190101226</vt:lpwstr>
      </vt:variant>
      <vt:variant>
        <vt:i4>1835059</vt:i4>
      </vt:variant>
      <vt:variant>
        <vt:i4>101</vt:i4>
      </vt:variant>
      <vt:variant>
        <vt:i4>0</vt:i4>
      </vt:variant>
      <vt:variant>
        <vt:i4>5</vt:i4>
      </vt:variant>
      <vt:variant>
        <vt:lpwstr/>
      </vt:variant>
      <vt:variant>
        <vt:lpwstr>_Toc190101225</vt:lpwstr>
      </vt:variant>
      <vt:variant>
        <vt:i4>1835059</vt:i4>
      </vt:variant>
      <vt:variant>
        <vt:i4>98</vt:i4>
      </vt:variant>
      <vt:variant>
        <vt:i4>0</vt:i4>
      </vt:variant>
      <vt:variant>
        <vt:i4>5</vt:i4>
      </vt:variant>
      <vt:variant>
        <vt:lpwstr/>
      </vt:variant>
      <vt:variant>
        <vt:lpwstr>_Toc190101224</vt:lpwstr>
      </vt:variant>
      <vt:variant>
        <vt:i4>1835059</vt:i4>
      </vt:variant>
      <vt:variant>
        <vt:i4>95</vt:i4>
      </vt:variant>
      <vt:variant>
        <vt:i4>0</vt:i4>
      </vt:variant>
      <vt:variant>
        <vt:i4>5</vt:i4>
      </vt:variant>
      <vt:variant>
        <vt:lpwstr/>
      </vt:variant>
      <vt:variant>
        <vt:lpwstr>_Toc190101223</vt:lpwstr>
      </vt:variant>
      <vt:variant>
        <vt:i4>1835059</vt:i4>
      </vt:variant>
      <vt:variant>
        <vt:i4>92</vt:i4>
      </vt:variant>
      <vt:variant>
        <vt:i4>0</vt:i4>
      </vt:variant>
      <vt:variant>
        <vt:i4>5</vt:i4>
      </vt:variant>
      <vt:variant>
        <vt:lpwstr/>
      </vt:variant>
      <vt:variant>
        <vt:lpwstr>_Toc190101222</vt:lpwstr>
      </vt:variant>
      <vt:variant>
        <vt:i4>1835059</vt:i4>
      </vt:variant>
      <vt:variant>
        <vt:i4>89</vt:i4>
      </vt:variant>
      <vt:variant>
        <vt:i4>0</vt:i4>
      </vt:variant>
      <vt:variant>
        <vt:i4>5</vt:i4>
      </vt:variant>
      <vt:variant>
        <vt:lpwstr/>
      </vt:variant>
      <vt:variant>
        <vt:lpwstr>_Toc190101221</vt:lpwstr>
      </vt:variant>
      <vt:variant>
        <vt:i4>1835059</vt:i4>
      </vt:variant>
      <vt:variant>
        <vt:i4>86</vt:i4>
      </vt:variant>
      <vt:variant>
        <vt:i4>0</vt:i4>
      </vt:variant>
      <vt:variant>
        <vt:i4>5</vt:i4>
      </vt:variant>
      <vt:variant>
        <vt:lpwstr/>
      </vt:variant>
      <vt:variant>
        <vt:lpwstr>_Toc190101220</vt:lpwstr>
      </vt:variant>
      <vt:variant>
        <vt:i4>2031667</vt:i4>
      </vt:variant>
      <vt:variant>
        <vt:i4>83</vt:i4>
      </vt:variant>
      <vt:variant>
        <vt:i4>0</vt:i4>
      </vt:variant>
      <vt:variant>
        <vt:i4>5</vt:i4>
      </vt:variant>
      <vt:variant>
        <vt:lpwstr/>
      </vt:variant>
      <vt:variant>
        <vt:lpwstr>_Toc190101219</vt:lpwstr>
      </vt:variant>
      <vt:variant>
        <vt:i4>2031667</vt:i4>
      </vt:variant>
      <vt:variant>
        <vt:i4>80</vt:i4>
      </vt:variant>
      <vt:variant>
        <vt:i4>0</vt:i4>
      </vt:variant>
      <vt:variant>
        <vt:i4>5</vt:i4>
      </vt:variant>
      <vt:variant>
        <vt:lpwstr/>
      </vt:variant>
      <vt:variant>
        <vt:lpwstr>_Toc190101218</vt:lpwstr>
      </vt:variant>
      <vt:variant>
        <vt:i4>2031667</vt:i4>
      </vt:variant>
      <vt:variant>
        <vt:i4>77</vt:i4>
      </vt:variant>
      <vt:variant>
        <vt:i4>0</vt:i4>
      </vt:variant>
      <vt:variant>
        <vt:i4>5</vt:i4>
      </vt:variant>
      <vt:variant>
        <vt:lpwstr/>
      </vt:variant>
      <vt:variant>
        <vt:lpwstr>_Toc190101217</vt:lpwstr>
      </vt:variant>
      <vt:variant>
        <vt:i4>2031667</vt:i4>
      </vt:variant>
      <vt:variant>
        <vt:i4>74</vt:i4>
      </vt:variant>
      <vt:variant>
        <vt:i4>0</vt:i4>
      </vt:variant>
      <vt:variant>
        <vt:i4>5</vt:i4>
      </vt:variant>
      <vt:variant>
        <vt:lpwstr/>
      </vt:variant>
      <vt:variant>
        <vt:lpwstr>_Toc190101216</vt:lpwstr>
      </vt:variant>
      <vt:variant>
        <vt:i4>2031667</vt:i4>
      </vt:variant>
      <vt:variant>
        <vt:i4>71</vt:i4>
      </vt:variant>
      <vt:variant>
        <vt:i4>0</vt:i4>
      </vt:variant>
      <vt:variant>
        <vt:i4>5</vt:i4>
      </vt:variant>
      <vt:variant>
        <vt:lpwstr/>
      </vt:variant>
      <vt:variant>
        <vt:lpwstr>_Toc190101215</vt:lpwstr>
      </vt:variant>
      <vt:variant>
        <vt:i4>2031667</vt:i4>
      </vt:variant>
      <vt:variant>
        <vt:i4>68</vt:i4>
      </vt:variant>
      <vt:variant>
        <vt:i4>0</vt:i4>
      </vt:variant>
      <vt:variant>
        <vt:i4>5</vt:i4>
      </vt:variant>
      <vt:variant>
        <vt:lpwstr/>
      </vt:variant>
      <vt:variant>
        <vt:lpwstr>_Toc190101214</vt:lpwstr>
      </vt:variant>
      <vt:variant>
        <vt:i4>2031667</vt:i4>
      </vt:variant>
      <vt:variant>
        <vt:i4>65</vt:i4>
      </vt:variant>
      <vt:variant>
        <vt:i4>0</vt:i4>
      </vt:variant>
      <vt:variant>
        <vt:i4>5</vt:i4>
      </vt:variant>
      <vt:variant>
        <vt:lpwstr/>
      </vt:variant>
      <vt:variant>
        <vt:lpwstr>_Toc190101213</vt:lpwstr>
      </vt:variant>
      <vt:variant>
        <vt:i4>2031667</vt:i4>
      </vt:variant>
      <vt:variant>
        <vt:i4>62</vt:i4>
      </vt:variant>
      <vt:variant>
        <vt:i4>0</vt:i4>
      </vt:variant>
      <vt:variant>
        <vt:i4>5</vt:i4>
      </vt:variant>
      <vt:variant>
        <vt:lpwstr/>
      </vt:variant>
      <vt:variant>
        <vt:lpwstr>_Toc190101212</vt:lpwstr>
      </vt:variant>
      <vt:variant>
        <vt:i4>2031667</vt:i4>
      </vt:variant>
      <vt:variant>
        <vt:i4>59</vt:i4>
      </vt:variant>
      <vt:variant>
        <vt:i4>0</vt:i4>
      </vt:variant>
      <vt:variant>
        <vt:i4>5</vt:i4>
      </vt:variant>
      <vt:variant>
        <vt:lpwstr/>
      </vt:variant>
      <vt:variant>
        <vt:lpwstr>_Toc190101211</vt:lpwstr>
      </vt:variant>
      <vt:variant>
        <vt:i4>2031667</vt:i4>
      </vt:variant>
      <vt:variant>
        <vt:i4>56</vt:i4>
      </vt:variant>
      <vt:variant>
        <vt:i4>0</vt:i4>
      </vt:variant>
      <vt:variant>
        <vt:i4>5</vt:i4>
      </vt:variant>
      <vt:variant>
        <vt:lpwstr/>
      </vt:variant>
      <vt:variant>
        <vt:lpwstr>_Toc190101210</vt:lpwstr>
      </vt:variant>
      <vt:variant>
        <vt:i4>1966131</vt:i4>
      </vt:variant>
      <vt:variant>
        <vt:i4>53</vt:i4>
      </vt:variant>
      <vt:variant>
        <vt:i4>0</vt:i4>
      </vt:variant>
      <vt:variant>
        <vt:i4>5</vt:i4>
      </vt:variant>
      <vt:variant>
        <vt:lpwstr/>
      </vt:variant>
      <vt:variant>
        <vt:lpwstr>_Toc190101209</vt:lpwstr>
      </vt:variant>
      <vt:variant>
        <vt:i4>1966131</vt:i4>
      </vt:variant>
      <vt:variant>
        <vt:i4>50</vt:i4>
      </vt:variant>
      <vt:variant>
        <vt:i4>0</vt:i4>
      </vt:variant>
      <vt:variant>
        <vt:i4>5</vt:i4>
      </vt:variant>
      <vt:variant>
        <vt:lpwstr/>
      </vt:variant>
      <vt:variant>
        <vt:lpwstr>_Toc190101208</vt:lpwstr>
      </vt:variant>
      <vt:variant>
        <vt:i4>1966131</vt:i4>
      </vt:variant>
      <vt:variant>
        <vt:i4>47</vt:i4>
      </vt:variant>
      <vt:variant>
        <vt:i4>0</vt:i4>
      </vt:variant>
      <vt:variant>
        <vt:i4>5</vt:i4>
      </vt:variant>
      <vt:variant>
        <vt:lpwstr/>
      </vt:variant>
      <vt:variant>
        <vt:lpwstr>_Toc190101207</vt:lpwstr>
      </vt:variant>
      <vt:variant>
        <vt:i4>6160444</vt:i4>
      </vt:variant>
      <vt:variant>
        <vt:i4>42</vt:i4>
      </vt:variant>
      <vt:variant>
        <vt:i4>0</vt:i4>
      </vt:variant>
      <vt:variant>
        <vt:i4>5</vt:i4>
      </vt:variant>
      <vt:variant>
        <vt:lpwstr>http://www.3gpp.org/ftp//tsg_ran/WG2_RL2/TSGR2_129/Docs/%0dR2-2501295.zip</vt:lpwstr>
      </vt:variant>
      <vt:variant>
        <vt:lpwstr/>
      </vt:variant>
      <vt:variant>
        <vt:i4>6160445</vt:i4>
      </vt:variant>
      <vt:variant>
        <vt:i4>39</vt:i4>
      </vt:variant>
      <vt:variant>
        <vt:i4>0</vt:i4>
      </vt:variant>
      <vt:variant>
        <vt:i4>5</vt:i4>
      </vt:variant>
      <vt:variant>
        <vt:lpwstr>http://www.3gpp.org/ftp//tsg_ran/WG2_RL2/TSGR2_129/Docs/%0dR2-2501294.zip</vt:lpwstr>
      </vt:variant>
      <vt:variant>
        <vt:lpwstr/>
      </vt:variant>
      <vt:variant>
        <vt:i4>6160444</vt:i4>
      </vt:variant>
      <vt:variant>
        <vt:i4>36</vt:i4>
      </vt:variant>
      <vt:variant>
        <vt:i4>0</vt:i4>
      </vt:variant>
      <vt:variant>
        <vt:i4>5</vt:i4>
      </vt:variant>
      <vt:variant>
        <vt:lpwstr>http://www.3gpp.org/ftp//tsg_ran/WG2_RL2/TSGR2_129/Docs/%0dR2-2501196.zip</vt:lpwstr>
      </vt:variant>
      <vt:variant>
        <vt:lpwstr/>
      </vt:variant>
      <vt:variant>
        <vt:i4>6160443</vt:i4>
      </vt:variant>
      <vt:variant>
        <vt:i4>33</vt:i4>
      </vt:variant>
      <vt:variant>
        <vt:i4>0</vt:i4>
      </vt:variant>
      <vt:variant>
        <vt:i4>5</vt:i4>
      </vt:variant>
      <vt:variant>
        <vt:lpwstr>http://www.3gpp.org/ftp//tsg_ran/WG2_RL2/TSGR2_129/Docs/%0dR2-2500989.zip</vt:lpwstr>
      </vt:variant>
      <vt:variant>
        <vt:lpwstr/>
      </vt:variant>
      <vt:variant>
        <vt:i4>6160442</vt:i4>
      </vt:variant>
      <vt:variant>
        <vt:i4>30</vt:i4>
      </vt:variant>
      <vt:variant>
        <vt:i4>0</vt:i4>
      </vt:variant>
      <vt:variant>
        <vt:i4>5</vt:i4>
      </vt:variant>
      <vt:variant>
        <vt:lpwstr>http://www.3gpp.org/ftp//tsg_ran/WG2_RL2/TSGR2_129/Docs/%0dR2-2500988.zip</vt:lpwstr>
      </vt:variant>
      <vt:variant>
        <vt:lpwstr/>
      </vt:variant>
      <vt:variant>
        <vt:i4>5242929</vt:i4>
      </vt:variant>
      <vt:variant>
        <vt:i4>27</vt:i4>
      </vt:variant>
      <vt:variant>
        <vt:i4>0</vt:i4>
      </vt:variant>
      <vt:variant>
        <vt:i4>5</vt:i4>
      </vt:variant>
      <vt:variant>
        <vt:lpwstr>http://www.3gpp.org/ftp//tsg_ran/WG2_RL2/TSGR2_129/Docs/%0dR2-2500963.zip</vt:lpwstr>
      </vt:variant>
      <vt:variant>
        <vt:lpwstr/>
      </vt:variant>
      <vt:variant>
        <vt:i4>5242928</vt:i4>
      </vt:variant>
      <vt:variant>
        <vt:i4>24</vt:i4>
      </vt:variant>
      <vt:variant>
        <vt:i4>0</vt:i4>
      </vt:variant>
      <vt:variant>
        <vt:i4>5</vt:i4>
      </vt:variant>
      <vt:variant>
        <vt:lpwstr>http://www.3gpp.org/ftp//tsg_ran/WG2_RL2/TSGR2_129/Docs/%0dR2-2500962.zip</vt:lpwstr>
      </vt:variant>
      <vt:variant>
        <vt:lpwstr/>
      </vt:variant>
      <vt:variant>
        <vt:i4>5505076</vt:i4>
      </vt:variant>
      <vt:variant>
        <vt:i4>21</vt:i4>
      </vt:variant>
      <vt:variant>
        <vt:i4>0</vt:i4>
      </vt:variant>
      <vt:variant>
        <vt:i4>5</vt:i4>
      </vt:variant>
      <vt:variant>
        <vt:lpwstr>http://www.3gpp.org/ftp//tsg_ran/WG2_RL2/TSGR2_129/Docs/%0dR2-2500728.zip</vt:lpwstr>
      </vt:variant>
      <vt:variant>
        <vt:lpwstr/>
      </vt:variant>
      <vt:variant>
        <vt:i4>5374014</vt:i4>
      </vt:variant>
      <vt:variant>
        <vt:i4>18</vt:i4>
      </vt:variant>
      <vt:variant>
        <vt:i4>0</vt:i4>
      </vt:variant>
      <vt:variant>
        <vt:i4>5</vt:i4>
      </vt:variant>
      <vt:variant>
        <vt:lpwstr>http://www.3gpp.org/ftp//tsg_ran/WG2_RL2/TSGR2_129/Docs/%0dR2-2500540.zip</vt:lpwstr>
      </vt:variant>
      <vt:variant>
        <vt:lpwstr/>
      </vt:variant>
      <vt:variant>
        <vt:i4>5308476</vt:i4>
      </vt:variant>
      <vt:variant>
        <vt:i4>15</vt:i4>
      </vt:variant>
      <vt:variant>
        <vt:i4>0</vt:i4>
      </vt:variant>
      <vt:variant>
        <vt:i4>5</vt:i4>
      </vt:variant>
      <vt:variant>
        <vt:lpwstr>http://www.3gpp.org/ftp//tsg_ran/WG2_RL2/TSGR2_129/Docs/%0dR2-2500374.zip</vt:lpwstr>
      </vt:variant>
      <vt:variant>
        <vt:lpwstr/>
      </vt:variant>
      <vt:variant>
        <vt:i4>5439550</vt:i4>
      </vt:variant>
      <vt:variant>
        <vt:i4>12</vt:i4>
      </vt:variant>
      <vt:variant>
        <vt:i4>0</vt:i4>
      </vt:variant>
      <vt:variant>
        <vt:i4>5</vt:i4>
      </vt:variant>
      <vt:variant>
        <vt:lpwstr>http://www.3gpp.org/ftp//tsg_ran/WG2_RL2/TSGR2_129/Docs/%0dR2-2500356.zip</vt:lpwstr>
      </vt:variant>
      <vt:variant>
        <vt:lpwstr/>
      </vt:variant>
      <vt:variant>
        <vt:i4>5570619</vt:i4>
      </vt:variant>
      <vt:variant>
        <vt:i4>9</vt:i4>
      </vt:variant>
      <vt:variant>
        <vt:i4>0</vt:i4>
      </vt:variant>
      <vt:variant>
        <vt:i4>5</vt:i4>
      </vt:variant>
      <vt:variant>
        <vt:lpwstr>http://www.3gpp.org/ftp//tsg_ran/WG2_RL2/TSGR2_129/Docs/%0dR2-2500333.zip</vt:lpwstr>
      </vt:variant>
      <vt:variant>
        <vt:lpwstr/>
      </vt:variant>
      <vt:variant>
        <vt:i4>5505073</vt:i4>
      </vt:variant>
      <vt:variant>
        <vt:i4>6</vt:i4>
      </vt:variant>
      <vt:variant>
        <vt:i4>0</vt:i4>
      </vt:variant>
      <vt:variant>
        <vt:i4>5</vt:i4>
      </vt:variant>
      <vt:variant>
        <vt:lpwstr>http://www.3gpp.org/ftp//tsg_ran/WG2_RL2/TSGR2_129/Docs/%0dR2-2500228.zip</vt:lpwstr>
      </vt:variant>
      <vt:variant>
        <vt:lpwstr/>
      </vt:variant>
      <vt:variant>
        <vt:i4>5308473</vt:i4>
      </vt:variant>
      <vt:variant>
        <vt:i4>3</vt:i4>
      </vt:variant>
      <vt:variant>
        <vt:i4>0</vt:i4>
      </vt:variant>
      <vt:variant>
        <vt:i4>5</vt:i4>
      </vt:variant>
      <vt:variant>
        <vt:lpwstr>http://www.3gpp.org/ftp//tsg_ran/WG2_RL2/TSGR2_129/Docs/%0dR2-2500173.zip</vt:lpwstr>
      </vt:variant>
      <vt:variant>
        <vt:lpwstr/>
      </vt:variant>
      <vt:variant>
        <vt:i4>5439547</vt:i4>
      </vt:variant>
      <vt:variant>
        <vt:i4>0</vt:i4>
      </vt:variant>
      <vt:variant>
        <vt:i4>0</vt:i4>
      </vt:variant>
      <vt:variant>
        <vt:i4>5</vt:i4>
      </vt:variant>
      <vt:variant>
        <vt:lpwstr>http://www.3gpp.org/ftp//tsg_ran/WG2_RL2/TSGR2_129/Docs/%0dR2-2500151.zip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Tony</cp:lastModifiedBy>
  <cp:revision>623</cp:revision>
  <cp:lastPrinted>2008-02-01T03:09:00Z</cp:lastPrinted>
  <dcterms:created xsi:type="dcterms:W3CDTF">2023-09-01T03:30:00Z</dcterms:created>
  <dcterms:modified xsi:type="dcterms:W3CDTF">2025-02-14T08:26:00Z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